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03"/>
        <w:gridCol w:w="4877"/>
        <w:gridCol w:w="3600"/>
      </w:tblGrid>
      <w:tr w:rsidR="005C4A41" w:rsidRPr="00F326DC" w14:paraId="28F10FA9" w14:textId="77777777" w:rsidTr="00BD06C8">
        <w:trPr>
          <w:trHeight w:val="1310"/>
        </w:trPr>
        <w:tc>
          <w:tcPr>
            <w:tcW w:w="1603" w:type="dxa"/>
            <w:vAlign w:val="center"/>
          </w:tcPr>
          <w:p w14:paraId="45A65060" w14:textId="77777777" w:rsidR="005C4A41" w:rsidRPr="00F326DC" w:rsidRDefault="005C4A41" w:rsidP="00C32151">
            <w:pPr>
              <w:spacing w:before="120" w:after="120"/>
              <w:jc w:val="left"/>
              <w:rPr>
                <w:b/>
                <w:bCs/>
              </w:rPr>
            </w:pPr>
            <w:r>
              <w:rPr>
                <w:noProof/>
              </w:rPr>
              <w:drawing>
                <wp:inline distT="0" distB="0" distL="0" distR="0" wp14:anchorId="047DCF62" wp14:editId="6989A06A">
                  <wp:extent cx="880745" cy="880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0745" cy="880745"/>
                          </a:xfrm>
                          <a:prstGeom prst="rect">
                            <a:avLst/>
                          </a:prstGeom>
                          <a:noFill/>
                          <a:ln>
                            <a:noFill/>
                          </a:ln>
                        </pic:spPr>
                      </pic:pic>
                    </a:graphicData>
                  </a:graphic>
                </wp:inline>
              </w:drawing>
            </w:r>
          </w:p>
        </w:tc>
        <w:tc>
          <w:tcPr>
            <w:tcW w:w="4877" w:type="dxa"/>
            <w:vAlign w:val="center"/>
          </w:tcPr>
          <w:p w14:paraId="186652F0" w14:textId="4D092046" w:rsidR="005C4A41" w:rsidRPr="00843CC3" w:rsidRDefault="005C4A41" w:rsidP="00843CC3">
            <w:pPr>
              <w:tabs>
                <w:tab w:val="left" w:pos="924"/>
              </w:tabs>
              <w:spacing w:before="120" w:after="120"/>
              <w:jc w:val="left"/>
              <w:rPr>
                <w:bCs/>
                <w:u w:val="single"/>
              </w:rPr>
            </w:pPr>
            <w:r w:rsidRPr="00843CC3">
              <w:rPr>
                <w:b/>
              </w:rPr>
              <w:t>Title:</w:t>
            </w:r>
            <w:r w:rsidR="00843CC3" w:rsidRPr="00843CC3">
              <w:rPr>
                <w:bCs/>
              </w:rPr>
              <w:tab/>
            </w:r>
            <w:r w:rsidR="00A7515C">
              <w:rPr>
                <w:bCs/>
              </w:rPr>
              <w:t>Financial Assistance</w:t>
            </w:r>
          </w:p>
          <w:p w14:paraId="28886F6C" w14:textId="26E5EDB5" w:rsidR="005C4A41" w:rsidRPr="00843CC3" w:rsidRDefault="00843CC3" w:rsidP="00843CC3">
            <w:pPr>
              <w:tabs>
                <w:tab w:val="left" w:pos="924"/>
              </w:tabs>
              <w:spacing w:before="120" w:after="120"/>
              <w:jc w:val="left"/>
              <w:rPr>
                <w:bCs/>
              </w:rPr>
            </w:pPr>
            <w:r>
              <w:rPr>
                <w:b/>
              </w:rPr>
              <w:t>Ref #</w:t>
            </w:r>
            <w:r w:rsidR="005C4A41" w:rsidRPr="00843CC3">
              <w:rPr>
                <w:b/>
              </w:rPr>
              <w:t>:</w:t>
            </w:r>
            <w:r w:rsidRPr="00843CC3">
              <w:rPr>
                <w:bCs/>
              </w:rPr>
              <w:tab/>
            </w:r>
            <w:r w:rsidR="00A7515C">
              <w:rPr>
                <w:bCs/>
              </w:rPr>
              <w:t>HW060</w:t>
            </w:r>
          </w:p>
        </w:tc>
        <w:tc>
          <w:tcPr>
            <w:tcW w:w="3600" w:type="dxa"/>
            <w:vAlign w:val="center"/>
          </w:tcPr>
          <w:p w14:paraId="1527387C" w14:textId="38B72C02" w:rsidR="005C4A41" w:rsidRDefault="005C4A41" w:rsidP="001F0D49">
            <w:pPr>
              <w:tabs>
                <w:tab w:val="right" w:pos="3973"/>
              </w:tabs>
              <w:spacing w:before="120" w:after="120"/>
              <w:jc w:val="left"/>
            </w:pPr>
            <w:r w:rsidRPr="00843CC3">
              <w:rPr>
                <w:b/>
                <w:bCs/>
              </w:rPr>
              <w:t>Effective Date</w:t>
            </w:r>
            <w:r w:rsidR="00843CC3" w:rsidRPr="00843CC3">
              <w:rPr>
                <w:b/>
                <w:bCs/>
              </w:rPr>
              <w:t>:</w:t>
            </w:r>
            <w:r w:rsidR="00843CC3" w:rsidRPr="00843CC3">
              <w:tab/>
            </w:r>
            <w:r w:rsidR="00A7515C">
              <w:t>January 2018</w:t>
            </w:r>
          </w:p>
          <w:p w14:paraId="1CAEB402" w14:textId="45157F0B" w:rsidR="005C4A41" w:rsidRPr="00F326DC" w:rsidRDefault="005C4A41" w:rsidP="001F0D49">
            <w:pPr>
              <w:tabs>
                <w:tab w:val="right" w:pos="3973"/>
              </w:tabs>
              <w:spacing w:before="120" w:after="120"/>
              <w:jc w:val="left"/>
            </w:pPr>
            <w:r w:rsidRPr="00843CC3">
              <w:rPr>
                <w:b/>
                <w:bCs/>
              </w:rPr>
              <w:t>Last Review</w:t>
            </w:r>
            <w:r w:rsidR="00843CC3">
              <w:rPr>
                <w:b/>
                <w:bCs/>
              </w:rPr>
              <w:t>ed</w:t>
            </w:r>
            <w:r w:rsidR="00843CC3" w:rsidRPr="00843CC3">
              <w:rPr>
                <w:b/>
                <w:bCs/>
              </w:rPr>
              <w:t>:</w:t>
            </w:r>
            <w:r w:rsidR="00843CC3" w:rsidRPr="00843CC3">
              <w:tab/>
            </w:r>
            <w:r w:rsidR="00A7515C">
              <w:t>May 2026</w:t>
            </w:r>
          </w:p>
          <w:p w14:paraId="753C64B9" w14:textId="450F3593" w:rsidR="005C4A41" w:rsidRPr="00F326DC" w:rsidRDefault="005C4A41" w:rsidP="001F0D49">
            <w:pPr>
              <w:tabs>
                <w:tab w:val="right" w:pos="3973"/>
              </w:tabs>
              <w:spacing w:before="120" w:after="120"/>
              <w:jc w:val="left"/>
            </w:pPr>
            <w:r w:rsidRPr="00843CC3">
              <w:rPr>
                <w:b/>
                <w:bCs/>
              </w:rPr>
              <w:t>Next Review</w:t>
            </w:r>
            <w:r w:rsidR="00843CC3" w:rsidRPr="00843CC3">
              <w:rPr>
                <w:b/>
                <w:bCs/>
              </w:rPr>
              <w:t>:</w:t>
            </w:r>
            <w:r w:rsidR="00843CC3" w:rsidRPr="00843CC3">
              <w:tab/>
            </w:r>
            <w:sdt>
              <w:sdtPr>
                <w:alias w:val="ReviewDueDate"/>
                <w:tag w:val="ReviewDueDate"/>
                <w:id w:val="-1993560896"/>
                <w:lock w:val="sdtLocked"/>
                <w:placeholder>
                  <w:docPart w:val="FEE9B9B0F5494285B0ECB4C8CD91C19D"/>
                </w:placeholder>
                <w:dataBinding w:prefixMappings="xmlns:ns0='http://schemas.microsoft.com/office/2006/metadata/properties' xmlns:ns1='http://www.w3.org/2001/XMLSchema-instance' xmlns:ns2='http://schemas.microsoft.com/office/infopath/2007/PartnerControls' xmlns:ns3='e1a1cc7b-24de-40ce-83c7-cf1dd112dca8' xmlns:ns4='a225888c-5efa-4efe-90eb-27aa7d16bbdf' " w:xpath="/ns0:properties[1]/documentManagement[1]/ns3:ReviewDueDate[1]" w:storeItemID="{D78F38D7-A994-4556-BAC9-FDA5898059C8}"/>
                <w:date w:fullDate="2027-04-01T00:00:00Z">
                  <w:dateFormat w:val="MMMM yyyy"/>
                  <w:lid w:val="en-US"/>
                  <w:storeMappedDataAs w:val="dateTime"/>
                  <w:calendar w:val="gregorian"/>
                </w:date>
              </w:sdtPr>
              <w:sdtEndPr/>
              <w:sdtContent>
                <w:r w:rsidR="00A7515C">
                  <w:t>April 2027</w:t>
                </w:r>
              </w:sdtContent>
            </w:sdt>
          </w:p>
        </w:tc>
      </w:tr>
    </w:tbl>
    <w:p w14:paraId="42F28303" w14:textId="77777777" w:rsidR="00F326DC" w:rsidRDefault="00F326DC" w:rsidP="00843CC3">
      <w:pPr>
        <w:spacing w:before="120"/>
      </w:pPr>
      <w:r w:rsidRPr="00F326DC">
        <w:rPr>
          <w:b/>
          <w:bCs/>
        </w:rPr>
        <w:t>SCOPE:</w:t>
      </w:r>
      <w:r>
        <w:t xml:space="preserve"> All Ivinson Memorial Hospital (IMH) departments and clinics.</w:t>
      </w:r>
    </w:p>
    <w:p w14:paraId="6C98E1E7" w14:textId="39E516AD" w:rsidR="00F326DC" w:rsidRDefault="00F326DC" w:rsidP="00F326DC">
      <w:r w:rsidRPr="00F326DC">
        <w:rPr>
          <w:b/>
          <w:bCs/>
        </w:rPr>
        <w:t>INTENT:</w:t>
      </w:r>
      <w:r>
        <w:t xml:space="preserve"> </w:t>
      </w:r>
      <w:r w:rsidR="00A7515C" w:rsidRPr="00A7515C">
        <w:t>To provide a framework for IMH’s provision of free or reduced-cost care or financial assistance to certain IMH patients who meet the guidelines set forth in this Policy.</w:t>
      </w:r>
    </w:p>
    <w:p w14:paraId="401F56A0" w14:textId="77777777" w:rsidR="00F326DC" w:rsidRDefault="00F326DC" w:rsidP="00F326DC">
      <w:r w:rsidRPr="00F326DC">
        <w:rPr>
          <w:b/>
          <w:bCs/>
        </w:rPr>
        <w:t>DEFINITIONS:</w:t>
      </w:r>
    </w:p>
    <w:p w14:paraId="05D1D548" w14:textId="77777777" w:rsidR="00A7515C" w:rsidRPr="009C53D1" w:rsidRDefault="00A7515C" w:rsidP="00A7515C">
      <w:pPr>
        <w:pStyle w:val="ListParagraph"/>
        <w:numPr>
          <w:ilvl w:val="0"/>
          <w:numId w:val="1"/>
        </w:numPr>
        <w:rPr>
          <w:rStyle w:val="Heading1Char"/>
          <w:rFonts w:cs="Arial"/>
          <w:b w:val="0"/>
        </w:rPr>
      </w:pPr>
      <w:r>
        <w:rPr>
          <w:rStyle w:val="Heading1Char"/>
        </w:rPr>
        <w:t>Amounts Generally Billed (AGB):</w:t>
      </w:r>
      <w:r w:rsidRPr="009C53D1">
        <w:rPr>
          <w:rStyle w:val="Heading1Char"/>
        </w:rPr>
        <w:t xml:space="preserve"> The amount a hospital generally bills insured patients for a covered service, determined using the “look-back method” as set forth in 26 CFR 1.501(r)-5(b)(3). </w:t>
      </w:r>
    </w:p>
    <w:p w14:paraId="5DEFEB5E" w14:textId="77777777" w:rsidR="00A7515C" w:rsidRPr="009C53D1" w:rsidRDefault="00A7515C" w:rsidP="00A7515C">
      <w:pPr>
        <w:pStyle w:val="ListParagraph"/>
        <w:numPr>
          <w:ilvl w:val="0"/>
          <w:numId w:val="1"/>
        </w:numPr>
        <w:rPr>
          <w:rStyle w:val="Heading1Char"/>
          <w:rFonts w:cs="Arial"/>
          <w:b w:val="0"/>
        </w:rPr>
      </w:pPr>
      <w:r w:rsidRPr="00091B1B">
        <w:rPr>
          <w:rStyle w:val="Heading1Char"/>
          <w:rFonts w:cs="Arial"/>
        </w:rPr>
        <w:t>Area of Service</w:t>
      </w:r>
      <w:r>
        <w:rPr>
          <w:rStyle w:val="Heading1Char"/>
          <w:rFonts w:cs="Arial"/>
        </w:rPr>
        <w:t>:</w:t>
      </w:r>
      <w:r w:rsidRPr="009C53D1">
        <w:rPr>
          <w:rStyle w:val="Heading1Char"/>
          <w:rFonts w:cs="Arial"/>
        </w:rPr>
        <w:t xml:space="preserve"> Albany County, Wyoming</w:t>
      </w:r>
    </w:p>
    <w:p w14:paraId="58256889" w14:textId="77777777" w:rsidR="00A7515C" w:rsidRPr="00091B1B" w:rsidRDefault="00A7515C" w:rsidP="00A7515C">
      <w:pPr>
        <w:pStyle w:val="ListParagraph"/>
        <w:numPr>
          <w:ilvl w:val="0"/>
          <w:numId w:val="1"/>
        </w:numPr>
        <w:rPr>
          <w:rStyle w:val="Heading1Char"/>
          <w:rFonts w:cs="Arial"/>
          <w:b w:val="0"/>
        </w:rPr>
      </w:pPr>
      <w:r>
        <w:rPr>
          <w:rStyle w:val="Heading1Char"/>
          <w:rFonts w:cs="Arial"/>
        </w:rPr>
        <w:t>Applic</w:t>
      </w:r>
      <w:r w:rsidRPr="00091B1B">
        <w:rPr>
          <w:rStyle w:val="Heading1Char"/>
          <w:rFonts w:cs="Arial"/>
        </w:rPr>
        <w:t>ation Period</w:t>
      </w:r>
      <w:r w:rsidRPr="00A17896">
        <w:rPr>
          <w:rStyle w:val="Heading1Char"/>
          <w:rFonts w:cs="Arial"/>
        </w:rPr>
        <w:t>:</w:t>
      </w:r>
      <w:r w:rsidRPr="00091B1B">
        <w:rPr>
          <w:rStyle w:val="Heading1Char"/>
          <w:rFonts w:cs="Arial"/>
        </w:rPr>
        <w:t xml:space="preserve"> </w:t>
      </w:r>
      <w:r w:rsidRPr="00091B1B">
        <w:rPr>
          <w:rFonts w:cs="Arial"/>
          <w:color w:val="333333"/>
          <w:shd w:val="clear" w:color="auto" w:fill="FFFFFF"/>
        </w:rPr>
        <w:t>The time in which a patient has to complete the Financial Assistance application. It begins on the date the care is provided and ends 240 days after the date that the first post-discharge billing statement for the care is provided.</w:t>
      </w:r>
    </w:p>
    <w:p w14:paraId="2E28457C" w14:textId="77777777" w:rsidR="00A7515C" w:rsidRPr="00430A65" w:rsidRDefault="00A7515C" w:rsidP="00A7515C">
      <w:pPr>
        <w:pStyle w:val="ListParagraph"/>
        <w:numPr>
          <w:ilvl w:val="0"/>
          <w:numId w:val="1"/>
        </w:numPr>
        <w:rPr>
          <w:rFonts w:cs="Arial"/>
        </w:rPr>
      </w:pPr>
      <w:r w:rsidRPr="00302141">
        <w:rPr>
          <w:rStyle w:val="Heading1Char"/>
        </w:rPr>
        <w:t>Catastrophic Assistance:</w:t>
      </w:r>
      <w:r w:rsidRPr="00430A65">
        <w:rPr>
          <w:rFonts w:cs="Arial"/>
        </w:rPr>
        <w:t xml:space="preserve"> Assistance provided to patients who may qualify for Financial Assistance but do not meet the definition of indigent. This takes into consideration the cost for a specified plan of care and the ability to pay or borrow money to pay. This may result in the adjustment of some or all of the outstanding balance.</w:t>
      </w:r>
    </w:p>
    <w:p w14:paraId="59FE673C" w14:textId="77777777" w:rsidR="00A7515C" w:rsidRPr="00430A65" w:rsidRDefault="00A7515C" w:rsidP="00A7515C">
      <w:pPr>
        <w:pStyle w:val="ListParagraph"/>
        <w:numPr>
          <w:ilvl w:val="0"/>
          <w:numId w:val="1"/>
        </w:numPr>
        <w:rPr>
          <w:rFonts w:cs="Arial"/>
        </w:rPr>
      </w:pPr>
      <w:r w:rsidRPr="00302141">
        <w:rPr>
          <w:rStyle w:val="Heading1Char"/>
        </w:rPr>
        <w:t>Emergency Medical Condition:</w:t>
      </w:r>
      <w:r w:rsidRPr="00430A65">
        <w:rPr>
          <w:rFonts w:cs="Arial"/>
        </w:rPr>
        <w:t xml:space="preserve"> The term Emergency Medical Condition is defined as set forth in EMTALA (42 U.S.C. §</w:t>
      </w:r>
      <w:r>
        <w:rPr>
          <w:rFonts w:cs="Arial"/>
        </w:rPr>
        <w:t xml:space="preserve"> </w:t>
      </w:r>
      <w:r w:rsidRPr="00430A65">
        <w:rPr>
          <w:rFonts w:cs="Arial"/>
        </w:rPr>
        <w:t>1395dd) and Patient Care policy.</w:t>
      </w:r>
    </w:p>
    <w:p w14:paraId="0FCB43B0" w14:textId="77777777" w:rsidR="00A7515C" w:rsidRPr="00430A65" w:rsidRDefault="00A7515C" w:rsidP="00A7515C">
      <w:pPr>
        <w:pStyle w:val="ListParagraph"/>
        <w:numPr>
          <w:ilvl w:val="0"/>
          <w:numId w:val="1"/>
        </w:numPr>
        <w:rPr>
          <w:rFonts w:cs="Arial"/>
        </w:rPr>
      </w:pPr>
      <w:r w:rsidRPr="00302141">
        <w:rPr>
          <w:rStyle w:val="Heading1Char"/>
        </w:rPr>
        <w:t>Emergency Treatment:</w:t>
      </w:r>
      <w:r w:rsidRPr="00430A65">
        <w:rPr>
          <w:rFonts w:cs="Arial"/>
        </w:rPr>
        <w:t xml:space="preserve"> Emergency Treatment means the medical evaluation, care or treatment provided for an Emergency Medical Condition.</w:t>
      </w:r>
    </w:p>
    <w:p w14:paraId="03F07715" w14:textId="77777777" w:rsidR="00A7515C" w:rsidRPr="00430A65" w:rsidRDefault="00A7515C" w:rsidP="00A7515C">
      <w:pPr>
        <w:pStyle w:val="ListParagraph"/>
        <w:numPr>
          <w:ilvl w:val="0"/>
          <w:numId w:val="1"/>
        </w:numPr>
        <w:rPr>
          <w:rFonts w:cs="Arial"/>
        </w:rPr>
      </w:pPr>
      <w:r w:rsidRPr="00302141">
        <w:rPr>
          <w:rStyle w:val="Heading1Char"/>
        </w:rPr>
        <w:t>Family:</w:t>
      </w:r>
      <w:r w:rsidRPr="00430A65">
        <w:rPr>
          <w:rFonts w:cs="Arial"/>
        </w:rPr>
        <w:t xml:space="preserve"> Using the Census Bureau definition, a group of two or more people who reside together and who are related by birth, marriage, or adoption. If a patient claims someone as a dependent on their income tax return, they may be considered a dependent for purposes of the provision of Financial Assistance.</w:t>
      </w:r>
      <w:r>
        <w:rPr>
          <w:rFonts w:cs="Arial"/>
        </w:rPr>
        <w:t xml:space="preserve"> Significant others are also considered family.</w:t>
      </w:r>
    </w:p>
    <w:p w14:paraId="3B150053" w14:textId="77777777" w:rsidR="00A7515C" w:rsidRPr="00430A65" w:rsidRDefault="00A7515C" w:rsidP="00A7515C">
      <w:pPr>
        <w:pStyle w:val="ListParagraph"/>
        <w:numPr>
          <w:ilvl w:val="0"/>
          <w:numId w:val="1"/>
        </w:numPr>
        <w:rPr>
          <w:rFonts w:cs="Arial"/>
        </w:rPr>
      </w:pPr>
      <w:r w:rsidRPr="00302141">
        <w:rPr>
          <w:rStyle w:val="Heading1Char"/>
        </w:rPr>
        <w:t>Family Income:</w:t>
      </w:r>
      <w:r w:rsidRPr="00430A65">
        <w:rPr>
          <w:rFonts w:cs="Arial"/>
        </w:rPr>
        <w:t xml:space="preserve"> Family Income is determined using the Census Bureau definition, which uses the following income when computing federal poverty guidelines:</w:t>
      </w:r>
    </w:p>
    <w:p w14:paraId="2FBA43A0" w14:textId="77777777" w:rsidR="00A7515C" w:rsidRPr="00430A65" w:rsidRDefault="00A7515C" w:rsidP="00A7515C">
      <w:pPr>
        <w:pStyle w:val="ListParagraph"/>
        <w:numPr>
          <w:ilvl w:val="1"/>
          <w:numId w:val="1"/>
        </w:numPr>
        <w:rPr>
          <w:rFonts w:cs="Arial"/>
        </w:rPr>
      </w:pPr>
      <w:r w:rsidRPr="00430A65">
        <w:rPr>
          <w:rFonts w:cs="Arial"/>
        </w:rPr>
        <w:t>Includes earnings, unemployment compensation, workers’ compensation, Social Security, Supplemental Security Income, public assistance,</w:t>
      </w:r>
      <w:r>
        <w:rPr>
          <w:rFonts w:cs="Arial"/>
        </w:rPr>
        <w:t xml:space="preserve"> </w:t>
      </w:r>
      <w:r w:rsidRPr="00430A65">
        <w:rPr>
          <w:rFonts w:cs="Arial"/>
        </w:rPr>
        <w:t>veterans’ payments, survivor benefits, pension or retirement income, interest, dividends, rents, royalties, income from estates, trusts, educational assistance, alimony, child support, assistance from outside the household, and other miscellaneous sources;</w:t>
      </w:r>
    </w:p>
    <w:p w14:paraId="17C111F1" w14:textId="77777777" w:rsidR="00A7515C" w:rsidRPr="00430A65" w:rsidRDefault="00A7515C" w:rsidP="00A7515C">
      <w:pPr>
        <w:pStyle w:val="ListParagraph"/>
        <w:numPr>
          <w:ilvl w:val="1"/>
          <w:numId w:val="1"/>
        </w:numPr>
        <w:rPr>
          <w:rFonts w:cs="Arial"/>
        </w:rPr>
      </w:pPr>
      <w:r w:rsidRPr="00430A65">
        <w:rPr>
          <w:rFonts w:cs="Arial"/>
        </w:rPr>
        <w:t>Noncash benefits (such as food stamps and housing subsidies) do not count;</w:t>
      </w:r>
    </w:p>
    <w:p w14:paraId="64DA0298" w14:textId="77777777" w:rsidR="00A7515C" w:rsidRPr="00430A65" w:rsidRDefault="00A7515C" w:rsidP="00A7515C">
      <w:pPr>
        <w:pStyle w:val="ListParagraph"/>
        <w:numPr>
          <w:ilvl w:val="1"/>
          <w:numId w:val="1"/>
        </w:numPr>
        <w:rPr>
          <w:rFonts w:cs="Arial"/>
        </w:rPr>
      </w:pPr>
      <w:r w:rsidRPr="00430A65">
        <w:rPr>
          <w:rFonts w:cs="Arial"/>
        </w:rPr>
        <w:t>Determined on a before-tax basis;</w:t>
      </w:r>
    </w:p>
    <w:p w14:paraId="1AA27C54" w14:textId="77777777" w:rsidR="00A7515C" w:rsidRPr="00430A65" w:rsidRDefault="00A7515C" w:rsidP="00A7515C">
      <w:pPr>
        <w:pStyle w:val="ListParagraph"/>
        <w:numPr>
          <w:ilvl w:val="1"/>
          <w:numId w:val="1"/>
        </w:numPr>
        <w:rPr>
          <w:rFonts w:cs="Arial"/>
        </w:rPr>
      </w:pPr>
      <w:r w:rsidRPr="00430A65">
        <w:rPr>
          <w:rFonts w:cs="Arial"/>
        </w:rPr>
        <w:t>Excludes capital gains or losses; and</w:t>
      </w:r>
    </w:p>
    <w:p w14:paraId="0D4B0DC5" w14:textId="4EABB3B0" w:rsidR="00F326DC" w:rsidRDefault="00A7515C" w:rsidP="00A7515C">
      <w:pPr>
        <w:pStyle w:val="ListParagraph"/>
        <w:numPr>
          <w:ilvl w:val="1"/>
          <w:numId w:val="1"/>
        </w:numPr>
        <w:rPr>
          <w:rFonts w:cs="Arial"/>
        </w:rPr>
      </w:pPr>
      <w:r w:rsidRPr="00430A65">
        <w:rPr>
          <w:rFonts w:cs="Arial"/>
        </w:rPr>
        <w:t xml:space="preserve">If a person lives with </w:t>
      </w:r>
      <w:r>
        <w:rPr>
          <w:rFonts w:cs="Arial"/>
        </w:rPr>
        <w:t>other individuals</w:t>
      </w:r>
      <w:r w:rsidRPr="00430A65">
        <w:rPr>
          <w:rFonts w:cs="Arial"/>
        </w:rPr>
        <w:t xml:space="preserve">, includes the income of all </w:t>
      </w:r>
      <w:r>
        <w:rPr>
          <w:rFonts w:cs="Arial"/>
        </w:rPr>
        <w:t>individuals</w:t>
      </w:r>
      <w:r w:rsidRPr="00430A65">
        <w:rPr>
          <w:rFonts w:cs="Arial"/>
        </w:rPr>
        <w:t xml:space="preserve"> (Non-relatives, such as housemates, do not count)</w:t>
      </w:r>
      <w:r>
        <w:rPr>
          <w:rFonts w:cs="Arial"/>
        </w:rPr>
        <w:t xml:space="preserve"> contributing to the household</w:t>
      </w:r>
      <w:r w:rsidRPr="00430A65">
        <w:rPr>
          <w:rFonts w:cs="Arial"/>
        </w:rPr>
        <w:t>.</w:t>
      </w:r>
      <w:r>
        <w:rPr>
          <w:rFonts w:cs="Arial"/>
        </w:rPr>
        <w:t xml:space="preserve"> </w:t>
      </w:r>
    </w:p>
    <w:p w14:paraId="5E4A35CF" w14:textId="77777777" w:rsidR="00A7515C" w:rsidRPr="00430A65" w:rsidRDefault="00A7515C" w:rsidP="00A7515C">
      <w:pPr>
        <w:pStyle w:val="ListParagraph"/>
        <w:numPr>
          <w:ilvl w:val="0"/>
          <w:numId w:val="1"/>
        </w:numPr>
        <w:rPr>
          <w:rFonts w:cs="Arial"/>
        </w:rPr>
      </w:pPr>
      <w:r w:rsidRPr="00302141">
        <w:rPr>
          <w:rStyle w:val="Heading1Char"/>
        </w:rPr>
        <w:lastRenderedPageBreak/>
        <w:t>Medical Indigence:</w:t>
      </w:r>
      <w:r w:rsidRPr="00430A65">
        <w:rPr>
          <w:rFonts w:cs="Arial"/>
        </w:rPr>
        <w:t xml:space="preserve"> The lack of adequate financial reserves to pay for medical care from a person or family able to manage other basic living expenses.</w:t>
      </w:r>
    </w:p>
    <w:p w14:paraId="5FFF3F35" w14:textId="77777777" w:rsidR="00A7515C" w:rsidRPr="00430A65" w:rsidRDefault="00A7515C" w:rsidP="00A7515C">
      <w:pPr>
        <w:pStyle w:val="ListParagraph"/>
        <w:numPr>
          <w:ilvl w:val="0"/>
          <w:numId w:val="1"/>
        </w:numPr>
        <w:rPr>
          <w:rFonts w:cs="Arial"/>
        </w:rPr>
      </w:pPr>
      <w:r w:rsidRPr="00302141">
        <w:rPr>
          <w:rStyle w:val="Heading1Char"/>
        </w:rPr>
        <w:t>Medically Necessary Care:</w:t>
      </w:r>
      <w:r w:rsidRPr="00430A65">
        <w:rPr>
          <w:rFonts w:cs="Arial"/>
        </w:rPr>
        <w:t xml:space="preserve"> Medically Necessary Care is defined as those health care services that satisfy the definition of “Medically necessary” for purposes of the Wyoming Medicaid Program set forth by the Wyoming Administrative Procedures Act in Chapter 25, Section 4 of the Wyoming Rules and Regulations. Medically Necessary Care services are required to diagnose, treat, cure or prevent an illness, injury or disease which has been diagnosed or is reasonably suspected to relieve pain or to improve and preserve health and be essential to life.</w:t>
      </w:r>
    </w:p>
    <w:p w14:paraId="5E28BB81" w14:textId="77777777" w:rsidR="00A7515C" w:rsidRPr="00430A65" w:rsidRDefault="00A7515C" w:rsidP="00A7515C">
      <w:pPr>
        <w:pStyle w:val="ListParagraph"/>
        <w:numPr>
          <w:ilvl w:val="0"/>
          <w:numId w:val="1"/>
        </w:numPr>
        <w:rPr>
          <w:rFonts w:cs="Arial"/>
        </w:rPr>
      </w:pPr>
      <w:r w:rsidRPr="00302141">
        <w:rPr>
          <w:rStyle w:val="Heading1Char"/>
        </w:rPr>
        <w:t>Responsible Party:</w:t>
      </w:r>
      <w:r>
        <w:rPr>
          <w:rFonts w:cs="Arial"/>
        </w:rPr>
        <w:t xml:space="preserve"> A Responsible Party</w:t>
      </w:r>
      <w:r w:rsidRPr="00430A65">
        <w:rPr>
          <w:rFonts w:cs="Arial"/>
        </w:rPr>
        <w:t xml:space="preserve"> in </w:t>
      </w:r>
      <w:r>
        <w:rPr>
          <w:rFonts w:cs="Arial"/>
        </w:rPr>
        <w:t>this Policy is the patient if</w:t>
      </w:r>
      <w:r w:rsidRPr="00430A65">
        <w:rPr>
          <w:rFonts w:cs="Arial"/>
        </w:rPr>
        <w:t xml:space="preserve"> patient is at leas</w:t>
      </w:r>
      <w:r>
        <w:rPr>
          <w:rFonts w:cs="Arial"/>
        </w:rPr>
        <w:t>t eighteen (18) years old and</w:t>
      </w:r>
      <w:r w:rsidRPr="00430A65">
        <w:rPr>
          <w:rFonts w:cs="Arial"/>
        </w:rPr>
        <w:t xml:space="preserve"> not claimed by another person as a dependent for federal tax purposes. If </w:t>
      </w:r>
      <w:r>
        <w:rPr>
          <w:rFonts w:cs="Arial"/>
        </w:rPr>
        <w:t xml:space="preserve">the patient is under </w:t>
      </w:r>
      <w:r w:rsidRPr="00430A65">
        <w:rPr>
          <w:rFonts w:cs="Arial"/>
        </w:rPr>
        <w:t xml:space="preserve">eighteen (18), the Responsible Party </w:t>
      </w:r>
      <w:r>
        <w:rPr>
          <w:rFonts w:cs="Arial"/>
        </w:rPr>
        <w:t>are</w:t>
      </w:r>
      <w:r w:rsidRPr="00430A65">
        <w:rPr>
          <w:rFonts w:cs="Arial"/>
        </w:rPr>
        <w:t xml:space="preserve"> the patient’s parents (natural or adoptive) or legal guardians, unless someone else claims the patient as a dependent for federal </w:t>
      </w:r>
      <w:r>
        <w:rPr>
          <w:rFonts w:cs="Arial"/>
        </w:rPr>
        <w:t>tax purposes. If claimed</w:t>
      </w:r>
      <w:r w:rsidRPr="00430A65">
        <w:rPr>
          <w:rFonts w:cs="Arial"/>
        </w:rPr>
        <w:t xml:space="preserve"> by another person for federal tax purposes, the</w:t>
      </w:r>
      <w:r>
        <w:rPr>
          <w:rFonts w:cs="Arial"/>
        </w:rPr>
        <w:t>y are the</w:t>
      </w:r>
      <w:r w:rsidRPr="00430A65">
        <w:rPr>
          <w:rFonts w:cs="Arial"/>
        </w:rPr>
        <w:t xml:space="preserve"> Responsible Party</w:t>
      </w:r>
      <w:r>
        <w:rPr>
          <w:rFonts w:cs="Arial"/>
        </w:rPr>
        <w:t>.</w:t>
      </w:r>
    </w:p>
    <w:p w14:paraId="5BAE293D" w14:textId="59E9742F" w:rsidR="00A7515C" w:rsidRPr="00430A65" w:rsidRDefault="00A7515C" w:rsidP="00A7515C">
      <w:pPr>
        <w:pStyle w:val="ListParagraph"/>
        <w:numPr>
          <w:ilvl w:val="0"/>
          <w:numId w:val="1"/>
        </w:numPr>
        <w:rPr>
          <w:rFonts w:cs="Arial"/>
        </w:rPr>
      </w:pPr>
      <w:r w:rsidRPr="00302141">
        <w:rPr>
          <w:rStyle w:val="Heading1Char"/>
        </w:rPr>
        <w:t>Students:</w:t>
      </w:r>
      <w:r w:rsidRPr="00430A65">
        <w:rPr>
          <w:rFonts w:cs="Arial"/>
        </w:rPr>
        <w:t xml:space="preserve"> Individuals who are enrolled full-time in an accredited college or university and are receiving at least </w:t>
      </w:r>
      <w:r>
        <w:rPr>
          <w:rFonts w:cs="Arial"/>
        </w:rPr>
        <w:t xml:space="preserve">nine </w:t>
      </w:r>
      <w:r w:rsidRPr="00430A65">
        <w:rPr>
          <w:rFonts w:cs="Arial"/>
        </w:rPr>
        <w:t>(</w:t>
      </w:r>
      <w:r>
        <w:rPr>
          <w:rFonts w:cs="Arial"/>
        </w:rPr>
        <w:t>9</w:t>
      </w:r>
      <w:r w:rsidRPr="00430A65">
        <w:rPr>
          <w:rFonts w:cs="Arial"/>
        </w:rPr>
        <w:t>) credit hours a semester</w:t>
      </w:r>
      <w:r>
        <w:rPr>
          <w:rFonts w:cs="Arial"/>
        </w:rPr>
        <w:t xml:space="preserve"> or individuals enrolled in a full-time accredited program (e.g., WyoTech, LHS)</w:t>
      </w:r>
    </w:p>
    <w:p w14:paraId="43710025" w14:textId="77777777" w:rsidR="00A7515C" w:rsidRDefault="00A7515C" w:rsidP="00A7515C">
      <w:pPr>
        <w:pStyle w:val="ListParagraph"/>
        <w:numPr>
          <w:ilvl w:val="0"/>
          <w:numId w:val="1"/>
        </w:numPr>
        <w:rPr>
          <w:rFonts w:cs="Arial"/>
        </w:rPr>
      </w:pPr>
      <w:r w:rsidRPr="00302141">
        <w:rPr>
          <w:rStyle w:val="Heading1Char"/>
        </w:rPr>
        <w:t>Uninsured Patient:</w:t>
      </w:r>
      <w:r w:rsidRPr="00430A65">
        <w:rPr>
          <w:rFonts w:cs="Arial"/>
        </w:rPr>
        <w:t xml:space="preserve"> A patient without a level of insurance or third-party assistance to meet his/her payment obligations.</w:t>
      </w:r>
    </w:p>
    <w:p w14:paraId="611F765D" w14:textId="77777777" w:rsidR="00A7515C" w:rsidRDefault="00A7515C" w:rsidP="00A7515C">
      <w:pPr>
        <w:pStyle w:val="ListParagraph"/>
        <w:numPr>
          <w:ilvl w:val="0"/>
          <w:numId w:val="1"/>
        </w:numPr>
        <w:rPr>
          <w:rFonts w:cs="Arial"/>
        </w:rPr>
      </w:pPr>
      <w:r w:rsidRPr="00302141">
        <w:rPr>
          <w:rStyle w:val="Heading1Char"/>
        </w:rPr>
        <w:t>Financial Assistance:</w:t>
      </w:r>
      <w:r>
        <w:rPr>
          <w:rFonts w:cs="Arial"/>
        </w:rPr>
        <w:t xml:space="preserve"> R</w:t>
      </w:r>
      <w:r w:rsidRPr="008D71E3">
        <w:rPr>
          <w:rFonts w:cs="Arial"/>
        </w:rPr>
        <w:t>efers to health care services provided by IMH without charge or at a discount to qualifying patients. The following health care services</w:t>
      </w:r>
      <w:r>
        <w:rPr>
          <w:rFonts w:cs="Arial"/>
        </w:rPr>
        <w:t xml:space="preserve"> </w:t>
      </w:r>
      <w:r w:rsidRPr="008D71E3">
        <w:rPr>
          <w:rFonts w:cs="Arial"/>
        </w:rPr>
        <w:t>are eligible for Financial Assistance:</w:t>
      </w:r>
    </w:p>
    <w:p w14:paraId="0F0CAF58" w14:textId="77777777" w:rsidR="00A7515C" w:rsidRPr="00105AEE" w:rsidRDefault="00A7515C" w:rsidP="00A7515C">
      <w:pPr>
        <w:pStyle w:val="ListParagraph"/>
        <w:numPr>
          <w:ilvl w:val="1"/>
          <w:numId w:val="1"/>
        </w:numPr>
        <w:rPr>
          <w:rFonts w:cs="Arial"/>
        </w:rPr>
      </w:pPr>
      <w:r w:rsidRPr="00105AEE">
        <w:rPr>
          <w:rFonts w:cs="Arial"/>
        </w:rPr>
        <w:t>Medically Necessary Care. These services must be:</w:t>
      </w:r>
    </w:p>
    <w:p w14:paraId="74AF8979" w14:textId="77777777" w:rsidR="00A7515C" w:rsidRPr="00105AEE" w:rsidRDefault="00A7515C" w:rsidP="00A7515C">
      <w:pPr>
        <w:pStyle w:val="ListParagraph"/>
        <w:numPr>
          <w:ilvl w:val="2"/>
          <w:numId w:val="1"/>
        </w:numPr>
        <w:rPr>
          <w:rFonts w:cs="Arial"/>
        </w:rPr>
      </w:pPr>
      <w:r w:rsidRPr="00105AEE">
        <w:rPr>
          <w:rFonts w:cs="Arial"/>
        </w:rPr>
        <w:t>Consistent with the diagnosis and treatment of the</w:t>
      </w:r>
      <w:r>
        <w:rPr>
          <w:rFonts w:cs="Arial"/>
        </w:rPr>
        <w:t xml:space="preserve"> patient’s</w:t>
      </w:r>
      <w:r w:rsidRPr="00105AEE">
        <w:rPr>
          <w:rFonts w:cs="Arial"/>
        </w:rPr>
        <w:t xml:space="preserve"> condition;</w:t>
      </w:r>
    </w:p>
    <w:p w14:paraId="0D39E43E" w14:textId="77777777" w:rsidR="00A7515C" w:rsidRPr="00105AEE" w:rsidRDefault="00A7515C" w:rsidP="00A7515C">
      <w:pPr>
        <w:pStyle w:val="ListParagraph"/>
        <w:numPr>
          <w:ilvl w:val="2"/>
          <w:numId w:val="1"/>
        </w:numPr>
        <w:rPr>
          <w:rFonts w:cs="Arial"/>
        </w:rPr>
      </w:pPr>
      <w:r w:rsidRPr="00105AEE">
        <w:rPr>
          <w:rFonts w:cs="Arial"/>
        </w:rPr>
        <w:t>In accordance with the standards of good medical practice among the provider's peer group;</w:t>
      </w:r>
    </w:p>
    <w:p w14:paraId="00F5C69D" w14:textId="77777777" w:rsidR="00A7515C" w:rsidRPr="00105AEE" w:rsidRDefault="00A7515C" w:rsidP="00A7515C">
      <w:pPr>
        <w:pStyle w:val="ListParagraph"/>
        <w:numPr>
          <w:ilvl w:val="2"/>
          <w:numId w:val="1"/>
        </w:numPr>
        <w:rPr>
          <w:rFonts w:cs="Arial"/>
        </w:rPr>
      </w:pPr>
      <w:r w:rsidRPr="00105AEE">
        <w:rPr>
          <w:rFonts w:cs="Arial"/>
        </w:rPr>
        <w:t xml:space="preserve">Required to meet the medical needs of the </w:t>
      </w:r>
      <w:r>
        <w:rPr>
          <w:rFonts w:cs="Arial"/>
        </w:rPr>
        <w:t>patient</w:t>
      </w:r>
      <w:r w:rsidRPr="00105AEE">
        <w:rPr>
          <w:rFonts w:cs="Arial"/>
        </w:rPr>
        <w:t xml:space="preserve"> and undertaken for reasons other than the convenience of the </w:t>
      </w:r>
      <w:r>
        <w:rPr>
          <w:rFonts w:cs="Arial"/>
        </w:rPr>
        <w:t>patient</w:t>
      </w:r>
      <w:r w:rsidRPr="00105AEE">
        <w:rPr>
          <w:rFonts w:cs="Arial"/>
        </w:rPr>
        <w:t xml:space="preserve"> and the provider; and</w:t>
      </w:r>
    </w:p>
    <w:p w14:paraId="6FD12F54" w14:textId="77777777" w:rsidR="00A7515C" w:rsidRPr="00105AEE" w:rsidRDefault="00A7515C" w:rsidP="00A7515C">
      <w:pPr>
        <w:pStyle w:val="ListParagraph"/>
        <w:numPr>
          <w:ilvl w:val="2"/>
          <w:numId w:val="1"/>
        </w:numPr>
        <w:rPr>
          <w:rFonts w:cs="Arial"/>
        </w:rPr>
      </w:pPr>
      <w:r w:rsidRPr="00105AEE">
        <w:rPr>
          <w:rFonts w:cs="Arial"/>
        </w:rPr>
        <w:t xml:space="preserve">Performed in the most cost effective and appropriate setting required by the </w:t>
      </w:r>
      <w:r>
        <w:rPr>
          <w:rFonts w:cs="Arial"/>
        </w:rPr>
        <w:t>pat</w:t>
      </w:r>
      <w:r w:rsidRPr="00105AEE">
        <w:rPr>
          <w:rFonts w:cs="Arial"/>
        </w:rPr>
        <w:t>ient’s condition.</w:t>
      </w:r>
    </w:p>
    <w:p w14:paraId="2C193670" w14:textId="4ED5970D" w:rsidR="00A7515C" w:rsidRPr="00A7515C" w:rsidRDefault="00A7515C" w:rsidP="00A7515C">
      <w:pPr>
        <w:pStyle w:val="ListParagraph"/>
        <w:numPr>
          <w:ilvl w:val="1"/>
          <w:numId w:val="1"/>
        </w:numPr>
        <w:rPr>
          <w:rFonts w:cs="Arial"/>
        </w:rPr>
      </w:pPr>
      <w:r w:rsidRPr="00105AEE">
        <w:rPr>
          <w:rFonts w:cs="Arial"/>
        </w:rPr>
        <w:t>Emergency Treatment. IMH will provide Emergency Treatment to persons who pre</w:t>
      </w:r>
      <w:r>
        <w:rPr>
          <w:rFonts w:cs="Arial"/>
        </w:rPr>
        <w:t>sent themselves to IMH’s E</w:t>
      </w:r>
      <w:r w:rsidRPr="00105AEE">
        <w:rPr>
          <w:rFonts w:cs="Arial"/>
        </w:rPr>
        <w:t xml:space="preserve">mergency </w:t>
      </w:r>
      <w:r>
        <w:rPr>
          <w:rFonts w:cs="Arial"/>
        </w:rPr>
        <w:t>D</w:t>
      </w:r>
      <w:r w:rsidRPr="00105AEE">
        <w:rPr>
          <w:rFonts w:cs="Arial"/>
        </w:rPr>
        <w:t>epartment</w:t>
      </w:r>
      <w:r>
        <w:rPr>
          <w:rFonts w:cs="Arial"/>
        </w:rPr>
        <w:t xml:space="preserve"> (ED)</w:t>
      </w:r>
      <w:r w:rsidRPr="00105AEE">
        <w:rPr>
          <w:rFonts w:cs="Arial"/>
        </w:rPr>
        <w:t>, without discrimination, regardless of ability to pay or to qualify for Financial Assistance and in accordance with the requirements of EMTALA. In recognition of its obligations under EMTALA, IMH will not undertake any action that would discourage an individual from seeking Emergency Treatment.</w:t>
      </w:r>
    </w:p>
    <w:p w14:paraId="70D31C56" w14:textId="77777777" w:rsidR="00A7515C" w:rsidRPr="00CC6422" w:rsidRDefault="00F326DC" w:rsidP="00A7515C">
      <w:pPr>
        <w:rPr>
          <w:rFonts w:cs="Arial"/>
        </w:rPr>
      </w:pPr>
      <w:r w:rsidRPr="00F326DC">
        <w:rPr>
          <w:b/>
          <w:bCs/>
        </w:rPr>
        <w:t>POLICY:</w:t>
      </w:r>
      <w:r>
        <w:t xml:space="preserve"> </w:t>
      </w:r>
      <w:r w:rsidR="00A7515C" w:rsidRPr="00CC6422">
        <w:rPr>
          <w:rFonts w:cs="Arial"/>
        </w:rPr>
        <w:t xml:space="preserve">Financial Assistance may be provided to </w:t>
      </w:r>
      <w:r w:rsidR="00A7515C">
        <w:rPr>
          <w:rFonts w:cs="Arial"/>
        </w:rPr>
        <w:t>qualifying patients</w:t>
      </w:r>
      <w:r w:rsidR="00A7515C" w:rsidRPr="00CC6422">
        <w:rPr>
          <w:rFonts w:cs="Arial"/>
        </w:rPr>
        <w:t xml:space="preserve"> who </w:t>
      </w:r>
      <w:r w:rsidR="00A7515C">
        <w:rPr>
          <w:rFonts w:cs="Arial"/>
        </w:rPr>
        <w:t>cannot afford</w:t>
      </w:r>
      <w:r w:rsidR="00A7515C" w:rsidRPr="00CC6422">
        <w:rPr>
          <w:rFonts w:cs="Arial"/>
        </w:rPr>
        <w:t xml:space="preserve"> to pay </w:t>
      </w:r>
      <w:r w:rsidR="00A7515C">
        <w:rPr>
          <w:rFonts w:cs="Arial"/>
        </w:rPr>
        <w:t>all or a portion of their medical bills</w:t>
      </w:r>
      <w:r w:rsidR="00A7515C" w:rsidRPr="00CC6422">
        <w:rPr>
          <w:rFonts w:cs="Arial"/>
        </w:rPr>
        <w:t xml:space="preserve"> based on </w:t>
      </w:r>
      <w:r w:rsidR="00A7515C">
        <w:rPr>
          <w:rFonts w:cs="Arial"/>
        </w:rPr>
        <w:t>the eligibility rules identified in this policy</w:t>
      </w:r>
      <w:r w:rsidR="00A7515C" w:rsidRPr="00CC6422">
        <w:rPr>
          <w:rFonts w:cs="Arial"/>
        </w:rPr>
        <w:t>.</w:t>
      </w:r>
    </w:p>
    <w:p w14:paraId="6DF30900" w14:textId="77777777" w:rsidR="00A7515C" w:rsidRPr="00CC6422" w:rsidRDefault="00A7515C" w:rsidP="00A7515C">
      <w:pPr>
        <w:rPr>
          <w:rFonts w:cs="Arial"/>
        </w:rPr>
      </w:pPr>
      <w:r w:rsidRPr="00CC6422">
        <w:rPr>
          <w:rFonts w:cs="Arial"/>
        </w:rPr>
        <w:t>Consistent with its mission to deliver compassionate, high quality, and affordable health care services, and to advocate for those who are in financial need, IMH strives to ensure that the financial capacity of persons who need health care services does not prevent them from seeking or receiving proper care. IMH will provide Emergency Treatment to persons who presen</w:t>
      </w:r>
      <w:r>
        <w:rPr>
          <w:rFonts w:cs="Arial"/>
        </w:rPr>
        <w:t xml:space="preserve">t </w:t>
      </w:r>
      <w:r>
        <w:rPr>
          <w:rFonts w:cs="Arial"/>
        </w:rPr>
        <w:lastRenderedPageBreak/>
        <w:t>themselves to IMH’s emergency department</w:t>
      </w:r>
      <w:r w:rsidRPr="00CC6422">
        <w:rPr>
          <w:rFonts w:cs="Arial"/>
        </w:rPr>
        <w:t xml:space="preserve">, without discrimination, regardless of their eligibility for financial or government assistance </w:t>
      </w:r>
    </w:p>
    <w:p w14:paraId="1FAD2549" w14:textId="77777777" w:rsidR="00A7515C" w:rsidRPr="00CC6422" w:rsidRDefault="00A7515C" w:rsidP="00A7515C">
      <w:pPr>
        <w:rPr>
          <w:rFonts w:cs="Arial"/>
        </w:rPr>
      </w:pPr>
      <w:r w:rsidRPr="00CC6422">
        <w:rPr>
          <w:rFonts w:cs="Arial"/>
        </w:rPr>
        <w:t>IMH does not consider Financial Assistance to be a substitute for personal responsibility. Patient</w:t>
      </w:r>
      <w:r>
        <w:rPr>
          <w:rFonts w:cs="Arial"/>
        </w:rPr>
        <w:t>s are expected to follow</w:t>
      </w:r>
      <w:r w:rsidRPr="00CC6422">
        <w:rPr>
          <w:rFonts w:cs="Arial"/>
        </w:rPr>
        <w:t xml:space="preserve"> IMH’s procedures for obtaining Financial Assistance or other forms of payment, and to contribute to the cost of thei</w:t>
      </w:r>
      <w:r>
        <w:rPr>
          <w:rFonts w:cs="Arial"/>
        </w:rPr>
        <w:t>r care based on their</w:t>
      </w:r>
      <w:r w:rsidRPr="00CC6422">
        <w:rPr>
          <w:rFonts w:cs="Arial"/>
        </w:rPr>
        <w:t xml:space="preserve"> ability to pay. Persons with the financial capacity to purchase health insurance </w:t>
      </w:r>
      <w:r>
        <w:rPr>
          <w:rFonts w:cs="Arial"/>
        </w:rPr>
        <w:t>are</w:t>
      </w:r>
      <w:r w:rsidRPr="00CC6422">
        <w:rPr>
          <w:rFonts w:cs="Arial"/>
        </w:rPr>
        <w:t xml:space="preserve"> encouraged to do so, for their overall personal health, protection of their individual assets</w:t>
      </w:r>
      <w:r>
        <w:rPr>
          <w:rFonts w:cs="Arial"/>
        </w:rPr>
        <w:t xml:space="preserve"> and access to health care services</w:t>
      </w:r>
      <w:r w:rsidRPr="00CC6422">
        <w:rPr>
          <w:rFonts w:cs="Arial"/>
        </w:rPr>
        <w:t>.</w:t>
      </w:r>
    </w:p>
    <w:p w14:paraId="507C24BB" w14:textId="77777777" w:rsidR="00A7515C" w:rsidRPr="00CC6422" w:rsidRDefault="00A7515C" w:rsidP="00A7515C">
      <w:pPr>
        <w:rPr>
          <w:rFonts w:cs="Arial"/>
        </w:rPr>
      </w:pPr>
      <w:r>
        <w:rPr>
          <w:rFonts w:cs="Arial"/>
        </w:rPr>
        <w:t xml:space="preserve">IMH considers a patient with a non-contracted Medicaid plan eligible for a presumptive charity care write off for emergent services. </w:t>
      </w:r>
    </w:p>
    <w:p w14:paraId="4599F126" w14:textId="77777777" w:rsidR="00A7515C" w:rsidRDefault="00A7515C" w:rsidP="00A7515C">
      <w:pPr>
        <w:pStyle w:val="ListParagraph"/>
        <w:numPr>
          <w:ilvl w:val="1"/>
          <w:numId w:val="8"/>
        </w:numPr>
      </w:pPr>
      <w:r>
        <w:t>The following factors may be used in determining the amount of Financial Assistance granted:</w:t>
      </w:r>
    </w:p>
    <w:p w14:paraId="3DC52921" w14:textId="77777777" w:rsidR="00A7515C" w:rsidRDefault="00A7515C" w:rsidP="00A7515C">
      <w:pPr>
        <w:pStyle w:val="ListParagraph"/>
        <w:numPr>
          <w:ilvl w:val="2"/>
          <w:numId w:val="8"/>
        </w:numPr>
      </w:pPr>
      <w:r>
        <w:t>Individual or family income and net worth;</w:t>
      </w:r>
    </w:p>
    <w:p w14:paraId="4FC7A729" w14:textId="77777777" w:rsidR="00A7515C" w:rsidRDefault="00A7515C" w:rsidP="00A7515C">
      <w:pPr>
        <w:pStyle w:val="ListParagraph"/>
        <w:numPr>
          <w:ilvl w:val="2"/>
          <w:numId w:val="8"/>
        </w:numPr>
      </w:pPr>
      <w:r>
        <w:t>Employment status and earning capacity;</w:t>
      </w:r>
    </w:p>
    <w:p w14:paraId="3964B75F" w14:textId="77777777" w:rsidR="00A7515C" w:rsidRDefault="00A7515C" w:rsidP="00A7515C">
      <w:pPr>
        <w:pStyle w:val="ListParagraph"/>
        <w:numPr>
          <w:ilvl w:val="2"/>
          <w:numId w:val="8"/>
        </w:numPr>
      </w:pPr>
      <w:r>
        <w:t>Family size;</w:t>
      </w:r>
    </w:p>
    <w:p w14:paraId="67DB8B6E" w14:textId="77777777" w:rsidR="00A7515C" w:rsidRDefault="00A7515C" w:rsidP="00A7515C">
      <w:pPr>
        <w:pStyle w:val="ListParagraph"/>
        <w:numPr>
          <w:ilvl w:val="2"/>
          <w:numId w:val="8"/>
        </w:numPr>
      </w:pPr>
      <w:r>
        <w:t>Other financial obligations; and</w:t>
      </w:r>
    </w:p>
    <w:p w14:paraId="6C80E595" w14:textId="77777777" w:rsidR="00A7515C" w:rsidRDefault="00A7515C" w:rsidP="00A7515C">
      <w:pPr>
        <w:pStyle w:val="ListParagraph"/>
        <w:numPr>
          <w:ilvl w:val="2"/>
          <w:numId w:val="8"/>
        </w:numPr>
      </w:pPr>
      <w:r>
        <w:t>Other sources of payment for the services rendered.</w:t>
      </w:r>
    </w:p>
    <w:p w14:paraId="27F4712D" w14:textId="77777777" w:rsidR="00A7515C" w:rsidRDefault="00A7515C" w:rsidP="00A7515C">
      <w:pPr>
        <w:pStyle w:val="ListParagraph"/>
        <w:numPr>
          <w:ilvl w:val="1"/>
          <w:numId w:val="8"/>
        </w:numPr>
      </w:pPr>
      <w:r>
        <w:t>Assets: Assets also affect the amount of Financial Assistance that may be awarded. It is not the desire or intent of this Policy to force people to sell assets or incur additional debt as a result of having to receive Emergency Treatment or other Medically Necessary Care. However, as a county facility, IMH and its Board of Directors have certain fiduciary duties to the residents of Albany County, Wyoming that require Financial Assistance only be granted to those residents truly in need. Therefore, the following asset limits apply:</w:t>
      </w:r>
    </w:p>
    <w:p w14:paraId="67A6A27D" w14:textId="77777777" w:rsidR="00A7515C" w:rsidRDefault="00A7515C" w:rsidP="00A7515C">
      <w:pPr>
        <w:pStyle w:val="ListParagraph"/>
        <w:numPr>
          <w:ilvl w:val="2"/>
          <w:numId w:val="8"/>
        </w:numPr>
      </w:pPr>
      <w:r>
        <w:t>Individual: Liquid asset threshold equals $8,000.</w:t>
      </w:r>
    </w:p>
    <w:p w14:paraId="7EB478C3" w14:textId="77777777" w:rsidR="00A7515C" w:rsidRDefault="00A7515C" w:rsidP="00A7515C">
      <w:pPr>
        <w:pStyle w:val="ListParagraph"/>
        <w:numPr>
          <w:ilvl w:val="2"/>
          <w:numId w:val="8"/>
        </w:numPr>
      </w:pPr>
      <w:r>
        <w:t>Family: Liquid asset threshold equals $15,000.</w:t>
      </w:r>
    </w:p>
    <w:p w14:paraId="6C89CB7F" w14:textId="77777777" w:rsidR="00A7515C" w:rsidRDefault="00A7515C" w:rsidP="00A7515C">
      <w:pPr>
        <w:pStyle w:val="ListParagraph"/>
        <w:numPr>
          <w:ilvl w:val="2"/>
          <w:numId w:val="8"/>
        </w:numPr>
      </w:pPr>
      <w:r>
        <w:t>Liquid assets are those assets that are easily converted into cash. Money market accounts, certificates of deposit (CDs), cash, checking and savings accounts, stocks, bonds, mutual funds and life insurance cash value, are examples of liquid assets. The liquid asset threshold is calculated using these types of accounts.</w:t>
      </w:r>
    </w:p>
    <w:p w14:paraId="7D50AE4F" w14:textId="77777777" w:rsidR="00A7515C" w:rsidRDefault="00A7515C" w:rsidP="00A7515C">
      <w:pPr>
        <w:pStyle w:val="ListParagraph"/>
        <w:numPr>
          <w:ilvl w:val="2"/>
          <w:numId w:val="8"/>
        </w:numPr>
      </w:pPr>
      <w:r>
        <w:t>If the patient’s liquid assets total exceeds $8,000 (Individual) or $15,000 (Family) and the excess over $8,000 (Individual) or $15,000 (Family) is more than the outstanding balance, the patient does not qualify for Financial Assistance.</w:t>
      </w:r>
    </w:p>
    <w:p w14:paraId="1B3C118D" w14:textId="77777777" w:rsidR="00A7515C" w:rsidRDefault="00A7515C" w:rsidP="00A7515C">
      <w:pPr>
        <w:pStyle w:val="ListParagraph"/>
        <w:numPr>
          <w:ilvl w:val="2"/>
          <w:numId w:val="8"/>
        </w:numPr>
      </w:pPr>
      <w:r>
        <w:t>If the patient qualifies under the sliding fee scale for a 100% discount, and liquid asset total exceeds $8,000 (Individual) or $15,000 (Family) and the excess over $8,000 (Individual) or $15,000 (Family) is less than the outstanding balance, the patient will owe the excess amount, and the balance will qualify for Financial Assistance.</w:t>
      </w:r>
    </w:p>
    <w:p w14:paraId="6A7A03A5" w14:textId="77777777" w:rsidR="00A7515C" w:rsidRDefault="00A7515C" w:rsidP="00A7515C">
      <w:pPr>
        <w:keepNext/>
      </w:pPr>
      <w:r w:rsidRPr="00302141">
        <w:rPr>
          <w:rStyle w:val="Heading1Char"/>
        </w:rPr>
        <w:lastRenderedPageBreak/>
        <w:t>Example 1:</w:t>
      </w:r>
      <w:r>
        <w:t xml:space="preserve"> An individual patient that meets income guidelines for 100% write off, has a $25,000 balance.</w:t>
      </w:r>
    </w:p>
    <w:tbl>
      <w:tblPr>
        <w:tblW w:w="6404" w:type="dxa"/>
        <w:jc w:val="center"/>
        <w:tblLook w:val="04A0" w:firstRow="1" w:lastRow="0" w:firstColumn="1" w:lastColumn="0" w:noHBand="0" w:noVBand="1"/>
      </w:tblPr>
      <w:tblGrid>
        <w:gridCol w:w="4699"/>
        <w:gridCol w:w="1705"/>
      </w:tblGrid>
      <w:tr w:rsidR="00A7515C" w:rsidRPr="00CF2B6D" w14:paraId="5C2C415E"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65EABE56" w14:textId="77777777" w:rsidR="00A7515C" w:rsidRPr="00CF2B6D" w:rsidRDefault="00A7515C" w:rsidP="00A7515C">
            <w:pPr>
              <w:keepNext/>
              <w:spacing w:after="0"/>
              <w:jc w:val="left"/>
              <w:rPr>
                <w:rFonts w:cs="Arial"/>
                <w:color w:val="000000"/>
              </w:rPr>
            </w:pPr>
            <w:r w:rsidRPr="00CF2B6D">
              <w:rPr>
                <w:rFonts w:cs="Arial"/>
                <w:color w:val="000000"/>
              </w:rPr>
              <w:t>Liquid Assets</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7994CA92"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10,000.00</w:t>
            </w:r>
          </w:p>
        </w:tc>
      </w:tr>
      <w:tr w:rsidR="00A7515C" w:rsidRPr="00CF2B6D" w14:paraId="15C5FA87"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28D49694" w14:textId="77777777" w:rsidR="00A7515C" w:rsidRPr="00CF2B6D" w:rsidRDefault="00A7515C" w:rsidP="00A7515C">
            <w:pPr>
              <w:keepNext/>
              <w:spacing w:after="0"/>
              <w:jc w:val="left"/>
              <w:rPr>
                <w:rFonts w:cs="Arial"/>
                <w:color w:val="000000"/>
              </w:rPr>
            </w:pPr>
            <w:r w:rsidRPr="00CF2B6D">
              <w:rPr>
                <w:rFonts w:cs="Arial"/>
                <w:color w:val="000000"/>
              </w:rPr>
              <w:t>Threshold ($8,000 single/$15,000 family)</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7EA18706"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8,000.00</w:t>
            </w:r>
          </w:p>
        </w:tc>
      </w:tr>
      <w:tr w:rsidR="00A7515C" w:rsidRPr="00CF2B6D" w14:paraId="740A2524" w14:textId="77777777" w:rsidTr="00B6748E">
        <w:trPr>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6728BE92" w14:textId="77777777" w:rsidR="00A7515C" w:rsidRPr="00CF2B6D" w:rsidRDefault="00A7515C" w:rsidP="00A7515C">
            <w:pPr>
              <w:keepNext/>
              <w:spacing w:after="0"/>
              <w:jc w:val="left"/>
              <w:rPr>
                <w:rFonts w:cs="Arial"/>
                <w:b/>
                <w:bCs/>
                <w:color w:val="000000"/>
              </w:rPr>
            </w:pPr>
            <w:r w:rsidRPr="00CF2B6D">
              <w:rPr>
                <w:rFonts w:cs="Arial"/>
                <w:b/>
                <w:bCs/>
                <w:color w:val="000000"/>
              </w:rPr>
              <w:t>Excess</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2123C35A" w14:textId="77777777" w:rsidR="00A7515C" w:rsidRPr="00CF2B6D" w:rsidRDefault="00A7515C" w:rsidP="00A7515C">
            <w:pPr>
              <w:keepNext/>
              <w:tabs>
                <w:tab w:val="right" w:pos="1288"/>
              </w:tabs>
              <w:spacing w:after="0"/>
              <w:jc w:val="left"/>
              <w:rPr>
                <w:rFonts w:cs="Arial"/>
                <w:b/>
                <w:bCs/>
                <w:color w:val="000000"/>
              </w:rPr>
            </w:pPr>
            <w:r w:rsidRPr="00CF2B6D">
              <w:rPr>
                <w:rFonts w:cs="Arial"/>
                <w:b/>
                <w:bCs/>
                <w:color w:val="000000"/>
              </w:rPr>
              <w:t>$</w:t>
            </w:r>
            <w:r w:rsidRPr="00CF2B6D">
              <w:rPr>
                <w:rFonts w:cs="Arial"/>
                <w:b/>
                <w:bCs/>
                <w:color w:val="000000"/>
              </w:rPr>
              <w:tab/>
              <w:t>2,000.00</w:t>
            </w:r>
          </w:p>
        </w:tc>
      </w:tr>
      <w:tr w:rsidR="00A7515C" w:rsidRPr="00CF2B6D" w14:paraId="1080D050" w14:textId="77777777" w:rsidTr="00B6748E">
        <w:trPr>
          <w:trHeight w:val="300"/>
          <w:jc w:val="center"/>
        </w:trPr>
        <w:tc>
          <w:tcPr>
            <w:tcW w:w="4699" w:type="dxa"/>
            <w:tcBorders>
              <w:top w:val="nil"/>
              <w:left w:val="nil"/>
              <w:bottom w:val="nil"/>
              <w:right w:val="nil"/>
            </w:tcBorders>
            <w:shd w:val="clear" w:color="auto" w:fill="auto"/>
            <w:noWrap/>
            <w:vAlign w:val="bottom"/>
            <w:hideMark/>
          </w:tcPr>
          <w:p w14:paraId="443FC0ED" w14:textId="77777777" w:rsidR="00A7515C" w:rsidRPr="00CF2B6D" w:rsidRDefault="00A7515C" w:rsidP="00A7515C">
            <w:pPr>
              <w:keepNext/>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5CD91ED6" w14:textId="77777777" w:rsidR="00A7515C" w:rsidRPr="00CF2B6D" w:rsidRDefault="00A7515C" w:rsidP="00A7515C">
            <w:pPr>
              <w:keepNext/>
              <w:tabs>
                <w:tab w:val="right" w:pos="1288"/>
              </w:tabs>
              <w:spacing w:after="0"/>
              <w:jc w:val="left"/>
              <w:rPr>
                <w:rFonts w:cs="Arial"/>
              </w:rPr>
            </w:pPr>
          </w:p>
        </w:tc>
      </w:tr>
      <w:tr w:rsidR="00A7515C" w:rsidRPr="00CF2B6D" w14:paraId="4E2B6810"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38C43500" w14:textId="77777777" w:rsidR="00A7515C" w:rsidRPr="00CF2B6D" w:rsidRDefault="00A7515C" w:rsidP="00A7515C">
            <w:pPr>
              <w:keepNext/>
              <w:spacing w:after="0"/>
              <w:jc w:val="left"/>
              <w:rPr>
                <w:rFonts w:cs="Arial"/>
                <w:color w:val="000000"/>
              </w:rPr>
            </w:pPr>
            <w:r w:rsidRPr="00CF2B6D">
              <w:rPr>
                <w:rFonts w:cs="Arial"/>
                <w:color w:val="000000"/>
              </w:rPr>
              <w:t>Invoice Amount</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5A3213B8"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25,000.00</w:t>
            </w:r>
          </w:p>
        </w:tc>
      </w:tr>
      <w:tr w:rsidR="00A7515C" w:rsidRPr="00CF2B6D" w14:paraId="64B8CD3E"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72440F11" w14:textId="77777777" w:rsidR="00A7515C" w:rsidRPr="00CF2B6D" w:rsidRDefault="00A7515C" w:rsidP="00A7515C">
            <w:pPr>
              <w:keepNext/>
              <w:spacing w:after="0"/>
              <w:jc w:val="left"/>
              <w:rPr>
                <w:rFonts w:cs="Arial"/>
                <w:color w:val="000000"/>
              </w:rPr>
            </w:pPr>
            <w:r w:rsidRPr="00CF2B6D">
              <w:rPr>
                <w:rFonts w:cs="Arial"/>
                <w:color w:val="000000"/>
              </w:rPr>
              <w:t>Excess</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3802F68A"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2,000.00</w:t>
            </w:r>
          </w:p>
        </w:tc>
      </w:tr>
      <w:tr w:rsidR="00A7515C" w:rsidRPr="00CF2B6D" w14:paraId="394FDE8D" w14:textId="77777777" w:rsidTr="00B6748E">
        <w:trPr>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20A6BDCF" w14:textId="77777777" w:rsidR="00A7515C" w:rsidRPr="00CF2B6D" w:rsidRDefault="00A7515C" w:rsidP="00A7515C">
            <w:pPr>
              <w:keepNext/>
              <w:spacing w:after="0"/>
              <w:jc w:val="left"/>
              <w:rPr>
                <w:rFonts w:cs="Arial"/>
                <w:b/>
                <w:bCs/>
                <w:color w:val="000000"/>
              </w:rPr>
            </w:pPr>
            <w:r w:rsidRPr="00CF2B6D">
              <w:rPr>
                <w:rFonts w:cs="Arial"/>
                <w:b/>
                <w:bCs/>
                <w:color w:val="000000"/>
              </w:rPr>
              <w:t>Sub Total</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37CC7276" w14:textId="77777777" w:rsidR="00A7515C" w:rsidRPr="00CF2B6D" w:rsidRDefault="00A7515C" w:rsidP="00A7515C">
            <w:pPr>
              <w:keepNext/>
              <w:tabs>
                <w:tab w:val="right" w:pos="1288"/>
              </w:tabs>
              <w:spacing w:after="0"/>
              <w:jc w:val="left"/>
              <w:rPr>
                <w:rFonts w:cs="Arial"/>
                <w:b/>
                <w:bCs/>
                <w:color w:val="000000"/>
              </w:rPr>
            </w:pPr>
            <w:r w:rsidRPr="00CF2B6D">
              <w:rPr>
                <w:rFonts w:cs="Arial"/>
                <w:b/>
                <w:bCs/>
                <w:color w:val="000000"/>
              </w:rPr>
              <w:t>$</w:t>
            </w:r>
            <w:r w:rsidRPr="00CF2B6D">
              <w:rPr>
                <w:rFonts w:cs="Arial"/>
                <w:b/>
                <w:bCs/>
                <w:color w:val="000000"/>
              </w:rPr>
              <w:tab/>
              <w:t xml:space="preserve">23,000.00 </w:t>
            </w:r>
          </w:p>
        </w:tc>
      </w:tr>
      <w:tr w:rsidR="00A7515C" w:rsidRPr="00CF2B6D" w14:paraId="7A591A97" w14:textId="77777777" w:rsidTr="00B6748E">
        <w:trPr>
          <w:trHeight w:val="300"/>
          <w:jc w:val="center"/>
        </w:trPr>
        <w:tc>
          <w:tcPr>
            <w:tcW w:w="4699" w:type="dxa"/>
            <w:tcBorders>
              <w:top w:val="nil"/>
              <w:left w:val="nil"/>
              <w:bottom w:val="nil"/>
              <w:right w:val="nil"/>
            </w:tcBorders>
            <w:shd w:val="clear" w:color="auto" w:fill="auto"/>
            <w:noWrap/>
            <w:vAlign w:val="bottom"/>
            <w:hideMark/>
          </w:tcPr>
          <w:p w14:paraId="48199E37" w14:textId="77777777" w:rsidR="00A7515C" w:rsidRPr="00CF2B6D" w:rsidRDefault="00A7515C" w:rsidP="00A7515C">
            <w:pPr>
              <w:keepNext/>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19D77967" w14:textId="77777777" w:rsidR="00A7515C" w:rsidRPr="00CF2B6D" w:rsidRDefault="00A7515C" w:rsidP="00A7515C">
            <w:pPr>
              <w:keepNext/>
              <w:tabs>
                <w:tab w:val="right" w:pos="1288"/>
              </w:tabs>
              <w:spacing w:after="0"/>
              <w:jc w:val="left"/>
              <w:rPr>
                <w:rFonts w:cs="Arial"/>
              </w:rPr>
            </w:pPr>
          </w:p>
        </w:tc>
      </w:tr>
      <w:tr w:rsidR="00A7515C" w:rsidRPr="00CF2B6D" w14:paraId="3915A21D"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475DF935" w14:textId="77777777" w:rsidR="00A7515C" w:rsidRPr="00CF2B6D" w:rsidRDefault="00A7515C" w:rsidP="00A7515C">
            <w:pPr>
              <w:keepNext/>
              <w:spacing w:after="0"/>
              <w:jc w:val="left"/>
              <w:rPr>
                <w:rFonts w:cs="Arial"/>
                <w:color w:val="000000"/>
              </w:rPr>
            </w:pPr>
            <w:r w:rsidRPr="00CF2B6D">
              <w:rPr>
                <w:rFonts w:cs="Arial"/>
                <w:color w:val="000000"/>
              </w:rPr>
              <w:t>Sub Total</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7B2E44E3"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23,000.00</w:t>
            </w:r>
          </w:p>
        </w:tc>
      </w:tr>
      <w:tr w:rsidR="00A7515C" w:rsidRPr="00CF2B6D" w14:paraId="20A2F5B1"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0DF910E0" w14:textId="77777777" w:rsidR="00A7515C" w:rsidRPr="00CF2B6D" w:rsidRDefault="00A7515C" w:rsidP="00A7515C">
            <w:pPr>
              <w:keepNext/>
              <w:spacing w:after="0"/>
              <w:jc w:val="left"/>
              <w:rPr>
                <w:rFonts w:cs="Arial"/>
                <w:color w:val="000000"/>
              </w:rPr>
            </w:pPr>
            <w:r w:rsidRPr="00CF2B6D">
              <w:rPr>
                <w:rFonts w:cs="Arial"/>
                <w:color w:val="000000"/>
              </w:rPr>
              <w:t>Write off %</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270908CA" w14:textId="77777777" w:rsidR="00A7515C" w:rsidRPr="00CF2B6D" w:rsidRDefault="00A7515C" w:rsidP="00A7515C">
            <w:pPr>
              <w:keepNext/>
              <w:tabs>
                <w:tab w:val="right" w:pos="1288"/>
              </w:tabs>
              <w:spacing w:after="0"/>
              <w:jc w:val="left"/>
              <w:rPr>
                <w:rFonts w:cs="Arial"/>
                <w:color w:val="000000"/>
              </w:rPr>
            </w:pPr>
            <w:r>
              <w:rPr>
                <w:rFonts w:cs="Arial"/>
                <w:color w:val="000000"/>
              </w:rPr>
              <w:tab/>
            </w:r>
            <w:r w:rsidRPr="00CF2B6D">
              <w:rPr>
                <w:rFonts w:cs="Arial"/>
                <w:color w:val="000000"/>
              </w:rPr>
              <w:t>100%</w:t>
            </w:r>
          </w:p>
        </w:tc>
      </w:tr>
      <w:tr w:rsidR="00A7515C" w:rsidRPr="00CF2B6D" w14:paraId="733A9843" w14:textId="77777777" w:rsidTr="00B6748E">
        <w:trPr>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26B845A5" w14:textId="77777777" w:rsidR="00A7515C" w:rsidRPr="00CF2B6D" w:rsidRDefault="00A7515C" w:rsidP="00A7515C">
            <w:pPr>
              <w:keepNext/>
              <w:spacing w:after="0"/>
              <w:jc w:val="left"/>
              <w:rPr>
                <w:rFonts w:cs="Arial"/>
                <w:b/>
                <w:bCs/>
                <w:color w:val="000000"/>
              </w:rPr>
            </w:pPr>
            <w:r w:rsidRPr="00CF2B6D">
              <w:rPr>
                <w:rFonts w:cs="Arial"/>
                <w:b/>
                <w:bCs/>
                <w:color w:val="000000"/>
              </w:rPr>
              <w:t>Financial Assistance Write Off</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06548337" w14:textId="77777777" w:rsidR="00A7515C" w:rsidRPr="00CF2B6D" w:rsidRDefault="00A7515C" w:rsidP="00A7515C">
            <w:pPr>
              <w:keepNext/>
              <w:tabs>
                <w:tab w:val="right" w:pos="1288"/>
              </w:tabs>
              <w:spacing w:after="0"/>
              <w:jc w:val="left"/>
              <w:rPr>
                <w:rFonts w:cs="Arial"/>
                <w:b/>
                <w:bCs/>
                <w:color w:val="000000"/>
              </w:rPr>
            </w:pPr>
            <w:r w:rsidRPr="00CF2B6D">
              <w:rPr>
                <w:rFonts w:cs="Arial"/>
                <w:b/>
                <w:bCs/>
                <w:color w:val="000000"/>
              </w:rPr>
              <w:t>$</w:t>
            </w:r>
            <w:r w:rsidRPr="00CF2B6D">
              <w:rPr>
                <w:rFonts w:cs="Arial"/>
                <w:b/>
                <w:bCs/>
                <w:color w:val="000000"/>
              </w:rPr>
              <w:tab/>
              <w:t>23,000.00</w:t>
            </w:r>
          </w:p>
        </w:tc>
      </w:tr>
      <w:tr w:rsidR="00A7515C" w:rsidRPr="00CF2B6D" w14:paraId="7D454889" w14:textId="77777777" w:rsidTr="00B6748E">
        <w:trPr>
          <w:trHeight w:val="300"/>
          <w:jc w:val="center"/>
        </w:trPr>
        <w:tc>
          <w:tcPr>
            <w:tcW w:w="4699" w:type="dxa"/>
            <w:tcBorders>
              <w:top w:val="nil"/>
              <w:left w:val="nil"/>
              <w:bottom w:val="nil"/>
              <w:right w:val="nil"/>
            </w:tcBorders>
            <w:shd w:val="clear" w:color="auto" w:fill="auto"/>
            <w:noWrap/>
            <w:vAlign w:val="bottom"/>
            <w:hideMark/>
          </w:tcPr>
          <w:p w14:paraId="29F046E4" w14:textId="77777777" w:rsidR="00A7515C" w:rsidRPr="00CF2B6D" w:rsidRDefault="00A7515C" w:rsidP="00A7515C">
            <w:pPr>
              <w:keepNext/>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01DC58BF" w14:textId="77777777" w:rsidR="00A7515C" w:rsidRPr="00CF2B6D" w:rsidRDefault="00A7515C" w:rsidP="00A7515C">
            <w:pPr>
              <w:keepNext/>
              <w:tabs>
                <w:tab w:val="right" w:pos="1288"/>
              </w:tabs>
              <w:spacing w:after="0"/>
              <w:jc w:val="left"/>
              <w:rPr>
                <w:rFonts w:cs="Arial"/>
              </w:rPr>
            </w:pPr>
          </w:p>
        </w:tc>
      </w:tr>
      <w:tr w:rsidR="00A7515C" w:rsidRPr="00CF2B6D" w14:paraId="18601BEE"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65FCB5F7" w14:textId="77777777" w:rsidR="00A7515C" w:rsidRPr="00CF2B6D" w:rsidRDefault="00A7515C" w:rsidP="00A7515C">
            <w:pPr>
              <w:keepNext/>
              <w:spacing w:after="0"/>
              <w:jc w:val="left"/>
              <w:rPr>
                <w:rFonts w:cs="Arial"/>
                <w:color w:val="000000"/>
              </w:rPr>
            </w:pPr>
            <w:r w:rsidRPr="00CF2B6D">
              <w:rPr>
                <w:rFonts w:cs="Arial"/>
                <w:color w:val="000000"/>
              </w:rPr>
              <w:t>Invoice Amount</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2ADDC1CA"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25,000.00</w:t>
            </w:r>
          </w:p>
        </w:tc>
      </w:tr>
      <w:tr w:rsidR="00A7515C" w:rsidRPr="00CF2B6D" w14:paraId="409AE952" w14:textId="77777777" w:rsidTr="00B6748E">
        <w:trPr>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3A1C401E" w14:textId="77777777" w:rsidR="00A7515C" w:rsidRPr="00CF2B6D" w:rsidRDefault="00A7515C" w:rsidP="00A7515C">
            <w:pPr>
              <w:keepNext/>
              <w:spacing w:after="0"/>
              <w:jc w:val="left"/>
              <w:rPr>
                <w:rFonts w:cs="Arial"/>
                <w:color w:val="000000"/>
              </w:rPr>
            </w:pPr>
            <w:r w:rsidRPr="00CF2B6D">
              <w:rPr>
                <w:rFonts w:cs="Arial"/>
                <w:color w:val="000000"/>
              </w:rPr>
              <w:t>Financial Assistance Write Off</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68D4A3C0" w14:textId="77777777" w:rsidR="00A7515C" w:rsidRPr="00CF2B6D" w:rsidRDefault="00A7515C" w:rsidP="00A7515C">
            <w:pPr>
              <w:keepNext/>
              <w:tabs>
                <w:tab w:val="right" w:pos="1288"/>
              </w:tabs>
              <w:spacing w:after="0"/>
              <w:jc w:val="left"/>
              <w:rPr>
                <w:rFonts w:cs="Arial"/>
                <w:color w:val="000000"/>
              </w:rPr>
            </w:pPr>
            <w:r w:rsidRPr="00CF2B6D">
              <w:rPr>
                <w:rFonts w:cs="Arial"/>
                <w:color w:val="000000"/>
              </w:rPr>
              <w:t>$</w:t>
            </w:r>
            <w:r w:rsidRPr="00CF2B6D">
              <w:rPr>
                <w:rFonts w:cs="Arial"/>
                <w:color w:val="000000"/>
              </w:rPr>
              <w:tab/>
              <w:t>23,000.00</w:t>
            </w:r>
          </w:p>
        </w:tc>
      </w:tr>
      <w:tr w:rsidR="00A7515C" w:rsidRPr="00CF2B6D" w14:paraId="3BD4B73E" w14:textId="77777777" w:rsidTr="00B6748E">
        <w:trPr>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11F5D033" w14:textId="77777777" w:rsidR="00A7515C" w:rsidRPr="00CF2B6D" w:rsidRDefault="00A7515C" w:rsidP="00B6748E">
            <w:pPr>
              <w:spacing w:after="0"/>
              <w:jc w:val="left"/>
              <w:rPr>
                <w:rFonts w:cs="Arial"/>
                <w:b/>
                <w:bCs/>
                <w:color w:val="000000"/>
              </w:rPr>
            </w:pPr>
            <w:r w:rsidRPr="00CF2B6D">
              <w:rPr>
                <w:rFonts w:cs="Arial"/>
                <w:b/>
                <w:bCs/>
                <w:color w:val="000000"/>
              </w:rPr>
              <w:t>Balance Due</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1E40ED1A" w14:textId="77777777" w:rsidR="00A7515C" w:rsidRPr="00CF2B6D" w:rsidRDefault="00A7515C" w:rsidP="00B6748E">
            <w:pPr>
              <w:tabs>
                <w:tab w:val="right" w:pos="1288"/>
              </w:tabs>
              <w:spacing w:after="0"/>
              <w:jc w:val="left"/>
              <w:rPr>
                <w:rFonts w:cs="Arial"/>
                <w:b/>
                <w:bCs/>
                <w:color w:val="000000"/>
              </w:rPr>
            </w:pPr>
            <w:r w:rsidRPr="00CF2B6D">
              <w:rPr>
                <w:rFonts w:cs="Arial"/>
                <w:b/>
                <w:bCs/>
                <w:color w:val="000000"/>
              </w:rPr>
              <w:t>$</w:t>
            </w:r>
            <w:r w:rsidRPr="00CF2B6D">
              <w:rPr>
                <w:rFonts w:cs="Arial"/>
                <w:b/>
                <w:bCs/>
                <w:color w:val="000000"/>
              </w:rPr>
              <w:tab/>
              <w:t>2,000.00</w:t>
            </w:r>
          </w:p>
        </w:tc>
      </w:tr>
    </w:tbl>
    <w:p w14:paraId="6A869339" w14:textId="77777777" w:rsidR="00A7515C" w:rsidRDefault="00A7515C" w:rsidP="00A7515C"/>
    <w:p w14:paraId="47CAD968" w14:textId="77777777" w:rsidR="00A7515C" w:rsidRDefault="00A7515C" w:rsidP="00A7515C">
      <w:r w:rsidRPr="00302141">
        <w:rPr>
          <w:rStyle w:val="Heading1Char"/>
        </w:rPr>
        <w:t>Example 2:</w:t>
      </w:r>
      <w:r>
        <w:t xml:space="preserve"> A family of 3 that qualifies for a 60% write off, has a $5,000 balance.</w:t>
      </w:r>
    </w:p>
    <w:tbl>
      <w:tblPr>
        <w:tblW w:w="6404" w:type="dxa"/>
        <w:jc w:val="center"/>
        <w:tblLook w:val="04A0" w:firstRow="1" w:lastRow="0" w:firstColumn="1" w:lastColumn="0" w:noHBand="0" w:noVBand="1"/>
      </w:tblPr>
      <w:tblGrid>
        <w:gridCol w:w="4699"/>
        <w:gridCol w:w="1705"/>
      </w:tblGrid>
      <w:tr w:rsidR="00A7515C" w:rsidRPr="00326579" w14:paraId="62B28AD8"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4C03539B" w14:textId="77777777" w:rsidR="00A7515C" w:rsidRPr="00326579" w:rsidRDefault="00A7515C" w:rsidP="00B6748E">
            <w:pPr>
              <w:spacing w:after="0"/>
              <w:jc w:val="left"/>
              <w:rPr>
                <w:rFonts w:cs="Arial"/>
                <w:color w:val="000000"/>
              </w:rPr>
            </w:pPr>
            <w:r w:rsidRPr="00326579">
              <w:rPr>
                <w:rFonts w:cs="Arial"/>
                <w:color w:val="000000"/>
              </w:rPr>
              <w:t>Liquid Assets</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36AB3F92"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18,000.00</w:t>
            </w:r>
          </w:p>
        </w:tc>
      </w:tr>
      <w:tr w:rsidR="00A7515C" w:rsidRPr="00326579" w14:paraId="35BD8591"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76857342" w14:textId="77777777" w:rsidR="00A7515C" w:rsidRPr="00326579" w:rsidRDefault="00A7515C" w:rsidP="00B6748E">
            <w:pPr>
              <w:spacing w:after="0"/>
              <w:jc w:val="left"/>
              <w:rPr>
                <w:rFonts w:cs="Arial"/>
                <w:color w:val="000000"/>
              </w:rPr>
            </w:pPr>
            <w:r w:rsidRPr="00326579">
              <w:rPr>
                <w:rFonts w:cs="Arial"/>
                <w:color w:val="000000"/>
              </w:rPr>
              <w:t>Threshold ($8,000 single/$15,000 family)</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78A38F4D"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15,000.00</w:t>
            </w:r>
          </w:p>
        </w:tc>
      </w:tr>
      <w:tr w:rsidR="00A7515C" w:rsidRPr="00326579" w14:paraId="146C5615" w14:textId="77777777" w:rsidTr="00B6748E">
        <w:trPr>
          <w:cantSplit/>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42B9EA9C" w14:textId="77777777" w:rsidR="00A7515C" w:rsidRPr="00326579" w:rsidRDefault="00A7515C" w:rsidP="00B6748E">
            <w:pPr>
              <w:spacing w:after="0"/>
              <w:jc w:val="left"/>
              <w:rPr>
                <w:rFonts w:cs="Arial"/>
                <w:b/>
                <w:bCs/>
                <w:color w:val="000000"/>
              </w:rPr>
            </w:pPr>
            <w:r w:rsidRPr="00326579">
              <w:rPr>
                <w:rFonts w:cs="Arial"/>
                <w:b/>
                <w:bCs/>
                <w:color w:val="000000"/>
              </w:rPr>
              <w:t>Excess</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716A41D4" w14:textId="77777777" w:rsidR="00A7515C" w:rsidRPr="00326579" w:rsidRDefault="00A7515C" w:rsidP="00B6748E">
            <w:pPr>
              <w:tabs>
                <w:tab w:val="right" w:pos="1288"/>
              </w:tabs>
              <w:spacing w:after="0"/>
              <w:jc w:val="left"/>
              <w:rPr>
                <w:rFonts w:cs="Arial"/>
                <w:b/>
                <w:bCs/>
                <w:color w:val="000000"/>
              </w:rPr>
            </w:pPr>
            <w:r w:rsidRPr="00326579">
              <w:rPr>
                <w:rFonts w:cs="Arial"/>
                <w:b/>
                <w:bCs/>
                <w:color w:val="000000"/>
              </w:rPr>
              <w:t>$</w:t>
            </w:r>
            <w:r w:rsidRPr="00326579">
              <w:rPr>
                <w:rFonts w:cs="Arial"/>
                <w:b/>
                <w:bCs/>
                <w:color w:val="000000"/>
              </w:rPr>
              <w:tab/>
              <w:t>3,000.00</w:t>
            </w:r>
          </w:p>
        </w:tc>
      </w:tr>
      <w:tr w:rsidR="00A7515C" w:rsidRPr="00326579" w14:paraId="552A8FBC" w14:textId="77777777" w:rsidTr="00B6748E">
        <w:trPr>
          <w:cantSplit/>
          <w:trHeight w:val="300"/>
          <w:jc w:val="center"/>
        </w:trPr>
        <w:tc>
          <w:tcPr>
            <w:tcW w:w="4699" w:type="dxa"/>
            <w:tcBorders>
              <w:top w:val="nil"/>
              <w:left w:val="nil"/>
              <w:bottom w:val="nil"/>
              <w:right w:val="nil"/>
            </w:tcBorders>
            <w:shd w:val="clear" w:color="auto" w:fill="auto"/>
            <w:noWrap/>
            <w:vAlign w:val="bottom"/>
            <w:hideMark/>
          </w:tcPr>
          <w:p w14:paraId="1B2F250B" w14:textId="77777777" w:rsidR="00A7515C" w:rsidRPr="00326579" w:rsidRDefault="00A7515C" w:rsidP="00B6748E">
            <w:pPr>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7AACE06C" w14:textId="77777777" w:rsidR="00A7515C" w:rsidRPr="00326579" w:rsidRDefault="00A7515C" w:rsidP="00B6748E">
            <w:pPr>
              <w:tabs>
                <w:tab w:val="right" w:pos="1288"/>
              </w:tabs>
              <w:spacing w:after="0"/>
              <w:jc w:val="left"/>
              <w:rPr>
                <w:rFonts w:cs="Arial"/>
              </w:rPr>
            </w:pPr>
          </w:p>
        </w:tc>
      </w:tr>
      <w:tr w:rsidR="00A7515C" w:rsidRPr="00326579" w14:paraId="34D9337E"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5CD90CEA" w14:textId="77777777" w:rsidR="00A7515C" w:rsidRPr="00326579" w:rsidRDefault="00A7515C" w:rsidP="00B6748E">
            <w:pPr>
              <w:spacing w:after="0"/>
              <w:jc w:val="left"/>
              <w:rPr>
                <w:rFonts w:cs="Arial"/>
                <w:color w:val="000000"/>
              </w:rPr>
            </w:pPr>
            <w:r w:rsidRPr="00326579">
              <w:rPr>
                <w:rFonts w:cs="Arial"/>
                <w:color w:val="000000"/>
              </w:rPr>
              <w:t>Invoice Amount</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0DD1633F"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5,000.00</w:t>
            </w:r>
          </w:p>
        </w:tc>
      </w:tr>
      <w:tr w:rsidR="00A7515C" w:rsidRPr="00326579" w14:paraId="0B6F4DB6"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0B9926D1" w14:textId="77777777" w:rsidR="00A7515C" w:rsidRPr="00326579" w:rsidRDefault="00A7515C" w:rsidP="00B6748E">
            <w:pPr>
              <w:spacing w:after="0"/>
              <w:jc w:val="left"/>
              <w:rPr>
                <w:rFonts w:cs="Arial"/>
                <w:color w:val="000000"/>
              </w:rPr>
            </w:pPr>
            <w:r w:rsidRPr="00326579">
              <w:rPr>
                <w:rFonts w:cs="Arial"/>
                <w:color w:val="000000"/>
              </w:rPr>
              <w:t>Excess</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0D72E2B1"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3,000.00</w:t>
            </w:r>
          </w:p>
        </w:tc>
      </w:tr>
      <w:tr w:rsidR="00A7515C" w:rsidRPr="00326579" w14:paraId="5EACF610" w14:textId="77777777" w:rsidTr="00B6748E">
        <w:trPr>
          <w:cantSplit/>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4804F571" w14:textId="77777777" w:rsidR="00A7515C" w:rsidRPr="00326579" w:rsidRDefault="00A7515C" w:rsidP="00B6748E">
            <w:pPr>
              <w:spacing w:after="0"/>
              <w:jc w:val="left"/>
              <w:rPr>
                <w:rFonts w:cs="Arial"/>
                <w:b/>
                <w:bCs/>
                <w:color w:val="000000"/>
              </w:rPr>
            </w:pPr>
            <w:r w:rsidRPr="00326579">
              <w:rPr>
                <w:rFonts w:cs="Arial"/>
                <w:b/>
                <w:bCs/>
                <w:color w:val="000000"/>
              </w:rPr>
              <w:t>Sub Total</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0148BDFB" w14:textId="77777777" w:rsidR="00A7515C" w:rsidRPr="00326579" w:rsidRDefault="00A7515C" w:rsidP="00B6748E">
            <w:pPr>
              <w:tabs>
                <w:tab w:val="right" w:pos="1288"/>
              </w:tabs>
              <w:spacing w:after="0"/>
              <w:jc w:val="left"/>
              <w:rPr>
                <w:rFonts w:cs="Arial"/>
                <w:b/>
                <w:bCs/>
                <w:color w:val="000000"/>
              </w:rPr>
            </w:pPr>
            <w:r w:rsidRPr="00326579">
              <w:rPr>
                <w:rFonts w:cs="Arial"/>
                <w:b/>
                <w:bCs/>
                <w:color w:val="000000"/>
              </w:rPr>
              <w:t>$</w:t>
            </w:r>
            <w:r w:rsidRPr="00326579">
              <w:rPr>
                <w:rFonts w:cs="Arial"/>
                <w:b/>
                <w:bCs/>
                <w:color w:val="000000"/>
              </w:rPr>
              <w:tab/>
              <w:t xml:space="preserve">2,000.00 </w:t>
            </w:r>
          </w:p>
        </w:tc>
      </w:tr>
      <w:tr w:rsidR="00A7515C" w:rsidRPr="00326579" w14:paraId="684DE661" w14:textId="77777777" w:rsidTr="00B6748E">
        <w:trPr>
          <w:cantSplit/>
          <w:trHeight w:val="300"/>
          <w:jc w:val="center"/>
        </w:trPr>
        <w:tc>
          <w:tcPr>
            <w:tcW w:w="4699" w:type="dxa"/>
            <w:tcBorders>
              <w:top w:val="nil"/>
              <w:left w:val="nil"/>
              <w:bottom w:val="nil"/>
              <w:right w:val="nil"/>
            </w:tcBorders>
            <w:shd w:val="clear" w:color="auto" w:fill="auto"/>
            <w:noWrap/>
            <w:vAlign w:val="bottom"/>
            <w:hideMark/>
          </w:tcPr>
          <w:p w14:paraId="2C68A047" w14:textId="77777777" w:rsidR="00A7515C" w:rsidRPr="00326579" w:rsidRDefault="00A7515C" w:rsidP="00B6748E">
            <w:pPr>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44D98847" w14:textId="77777777" w:rsidR="00A7515C" w:rsidRPr="00326579" w:rsidRDefault="00A7515C" w:rsidP="00B6748E">
            <w:pPr>
              <w:tabs>
                <w:tab w:val="right" w:pos="1288"/>
              </w:tabs>
              <w:spacing w:after="0"/>
              <w:jc w:val="left"/>
              <w:rPr>
                <w:rFonts w:cs="Arial"/>
              </w:rPr>
            </w:pPr>
          </w:p>
        </w:tc>
      </w:tr>
      <w:tr w:rsidR="00A7515C" w:rsidRPr="00326579" w14:paraId="389A69CB"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0F8C083C" w14:textId="77777777" w:rsidR="00A7515C" w:rsidRPr="00326579" w:rsidRDefault="00A7515C" w:rsidP="00B6748E">
            <w:pPr>
              <w:spacing w:after="0"/>
              <w:jc w:val="left"/>
              <w:rPr>
                <w:rFonts w:cs="Arial"/>
                <w:color w:val="000000"/>
              </w:rPr>
            </w:pPr>
            <w:r w:rsidRPr="00326579">
              <w:rPr>
                <w:rFonts w:cs="Arial"/>
                <w:color w:val="000000"/>
              </w:rPr>
              <w:t>Sub Total</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0A2495FB"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2,000.00</w:t>
            </w:r>
          </w:p>
        </w:tc>
      </w:tr>
      <w:tr w:rsidR="00A7515C" w:rsidRPr="00326579" w14:paraId="59FB969C"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16D95FA6" w14:textId="77777777" w:rsidR="00A7515C" w:rsidRPr="00326579" w:rsidRDefault="00A7515C" w:rsidP="00B6748E">
            <w:pPr>
              <w:spacing w:after="0"/>
              <w:jc w:val="left"/>
              <w:rPr>
                <w:rFonts w:cs="Arial"/>
                <w:color w:val="000000"/>
              </w:rPr>
            </w:pPr>
            <w:r w:rsidRPr="00326579">
              <w:rPr>
                <w:rFonts w:cs="Arial"/>
                <w:color w:val="000000"/>
              </w:rPr>
              <w:t>Write off %</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2C37210C" w14:textId="77777777" w:rsidR="00A7515C" w:rsidRPr="00326579" w:rsidRDefault="00A7515C" w:rsidP="00B6748E">
            <w:pPr>
              <w:tabs>
                <w:tab w:val="right" w:pos="1288"/>
              </w:tabs>
              <w:spacing w:after="0"/>
              <w:jc w:val="center"/>
              <w:rPr>
                <w:rFonts w:cs="Arial"/>
                <w:color w:val="000000"/>
              </w:rPr>
            </w:pPr>
            <w:r>
              <w:rPr>
                <w:rFonts w:cs="Arial"/>
                <w:color w:val="000000"/>
              </w:rPr>
              <w:tab/>
            </w:r>
            <w:r w:rsidRPr="00326579">
              <w:rPr>
                <w:rFonts w:cs="Arial"/>
                <w:color w:val="000000"/>
              </w:rPr>
              <w:t>60%</w:t>
            </w:r>
          </w:p>
        </w:tc>
      </w:tr>
      <w:tr w:rsidR="00A7515C" w:rsidRPr="00326579" w14:paraId="6C8BA187" w14:textId="77777777" w:rsidTr="00B6748E">
        <w:trPr>
          <w:cantSplit/>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23CDC2EE" w14:textId="77777777" w:rsidR="00A7515C" w:rsidRPr="00326579" w:rsidRDefault="00A7515C" w:rsidP="00B6748E">
            <w:pPr>
              <w:spacing w:after="0"/>
              <w:jc w:val="left"/>
              <w:rPr>
                <w:rFonts w:cs="Arial"/>
                <w:b/>
                <w:bCs/>
                <w:color w:val="000000"/>
              </w:rPr>
            </w:pPr>
            <w:r w:rsidRPr="00326579">
              <w:rPr>
                <w:rFonts w:cs="Arial"/>
                <w:b/>
                <w:bCs/>
                <w:color w:val="000000"/>
              </w:rPr>
              <w:t>Financial Assistance Write Off</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27BBD94A" w14:textId="77777777" w:rsidR="00A7515C" w:rsidRPr="00326579" w:rsidRDefault="00A7515C" w:rsidP="00B6748E">
            <w:pPr>
              <w:tabs>
                <w:tab w:val="right" w:pos="1288"/>
              </w:tabs>
              <w:spacing w:after="0"/>
              <w:jc w:val="left"/>
              <w:rPr>
                <w:rFonts w:cs="Arial"/>
                <w:b/>
                <w:bCs/>
                <w:color w:val="000000"/>
              </w:rPr>
            </w:pPr>
            <w:r w:rsidRPr="00326579">
              <w:rPr>
                <w:rFonts w:cs="Arial"/>
                <w:b/>
                <w:bCs/>
                <w:color w:val="000000"/>
              </w:rPr>
              <w:t>$</w:t>
            </w:r>
            <w:r w:rsidRPr="00326579">
              <w:rPr>
                <w:rFonts w:cs="Arial"/>
                <w:b/>
                <w:bCs/>
                <w:color w:val="000000"/>
              </w:rPr>
              <w:tab/>
              <w:t>1,200.00</w:t>
            </w:r>
          </w:p>
        </w:tc>
      </w:tr>
      <w:tr w:rsidR="00A7515C" w:rsidRPr="00326579" w14:paraId="11E32E27" w14:textId="77777777" w:rsidTr="00B6748E">
        <w:trPr>
          <w:cantSplit/>
          <w:trHeight w:val="300"/>
          <w:jc w:val="center"/>
        </w:trPr>
        <w:tc>
          <w:tcPr>
            <w:tcW w:w="4699" w:type="dxa"/>
            <w:tcBorders>
              <w:top w:val="nil"/>
              <w:left w:val="nil"/>
              <w:bottom w:val="nil"/>
              <w:right w:val="nil"/>
            </w:tcBorders>
            <w:shd w:val="clear" w:color="auto" w:fill="auto"/>
            <w:noWrap/>
            <w:vAlign w:val="bottom"/>
            <w:hideMark/>
          </w:tcPr>
          <w:p w14:paraId="43C0BA58" w14:textId="77777777" w:rsidR="00A7515C" w:rsidRPr="00326579" w:rsidRDefault="00A7515C" w:rsidP="00B6748E">
            <w:pPr>
              <w:spacing w:after="0"/>
              <w:jc w:val="left"/>
              <w:rPr>
                <w:rFonts w:cs="Arial"/>
                <w:b/>
                <w:bCs/>
                <w:color w:val="000000"/>
              </w:rPr>
            </w:pPr>
          </w:p>
        </w:tc>
        <w:tc>
          <w:tcPr>
            <w:tcW w:w="1705" w:type="dxa"/>
            <w:tcBorders>
              <w:top w:val="nil"/>
              <w:left w:val="nil"/>
              <w:bottom w:val="nil"/>
              <w:right w:val="nil"/>
            </w:tcBorders>
            <w:shd w:val="clear" w:color="auto" w:fill="auto"/>
            <w:noWrap/>
            <w:vAlign w:val="bottom"/>
            <w:hideMark/>
          </w:tcPr>
          <w:p w14:paraId="53B99703" w14:textId="77777777" w:rsidR="00A7515C" w:rsidRPr="00326579" w:rsidRDefault="00A7515C" w:rsidP="00B6748E">
            <w:pPr>
              <w:tabs>
                <w:tab w:val="right" w:pos="1288"/>
              </w:tabs>
              <w:spacing w:after="0"/>
              <w:jc w:val="left"/>
              <w:rPr>
                <w:rFonts w:cs="Arial"/>
              </w:rPr>
            </w:pPr>
          </w:p>
        </w:tc>
      </w:tr>
      <w:tr w:rsidR="00A7515C" w:rsidRPr="00326579" w14:paraId="49B6F414"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D9E1F2" w:fill="D9E1F2"/>
            <w:noWrap/>
            <w:vAlign w:val="bottom"/>
            <w:hideMark/>
          </w:tcPr>
          <w:p w14:paraId="536E3C66" w14:textId="77777777" w:rsidR="00A7515C" w:rsidRPr="00326579" w:rsidRDefault="00A7515C" w:rsidP="00B6748E">
            <w:pPr>
              <w:spacing w:after="0"/>
              <w:jc w:val="left"/>
              <w:rPr>
                <w:rFonts w:cs="Arial"/>
                <w:color w:val="000000"/>
              </w:rPr>
            </w:pPr>
            <w:r w:rsidRPr="00326579">
              <w:rPr>
                <w:rFonts w:cs="Arial"/>
                <w:color w:val="000000"/>
              </w:rPr>
              <w:t>Invoice Amount</w:t>
            </w:r>
          </w:p>
        </w:tc>
        <w:tc>
          <w:tcPr>
            <w:tcW w:w="1705" w:type="dxa"/>
            <w:tcBorders>
              <w:top w:val="single" w:sz="4" w:space="0" w:color="8EA9DB"/>
              <w:left w:val="nil"/>
              <w:bottom w:val="single" w:sz="4" w:space="0" w:color="8EA9DB"/>
              <w:right w:val="single" w:sz="4" w:space="0" w:color="8EA9DB"/>
            </w:tcBorders>
            <w:shd w:val="clear" w:color="D9E1F2" w:fill="D9E1F2"/>
            <w:noWrap/>
            <w:vAlign w:val="bottom"/>
            <w:hideMark/>
          </w:tcPr>
          <w:p w14:paraId="470FF1AA"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5,000.00</w:t>
            </w:r>
          </w:p>
        </w:tc>
      </w:tr>
      <w:tr w:rsidR="00A7515C" w:rsidRPr="00326579" w14:paraId="49D39B4F" w14:textId="77777777" w:rsidTr="00B6748E">
        <w:trPr>
          <w:cantSplit/>
          <w:trHeight w:val="300"/>
          <w:jc w:val="center"/>
        </w:trPr>
        <w:tc>
          <w:tcPr>
            <w:tcW w:w="4699" w:type="dxa"/>
            <w:tcBorders>
              <w:top w:val="single" w:sz="4" w:space="0" w:color="8EA9DB"/>
              <w:left w:val="single" w:sz="4" w:space="0" w:color="8EA9DB"/>
              <w:bottom w:val="single" w:sz="4" w:space="0" w:color="8EA9DB"/>
              <w:right w:val="nil"/>
            </w:tcBorders>
            <w:shd w:val="clear" w:color="auto" w:fill="auto"/>
            <w:noWrap/>
            <w:vAlign w:val="bottom"/>
            <w:hideMark/>
          </w:tcPr>
          <w:p w14:paraId="0ABE7DA2" w14:textId="77777777" w:rsidR="00A7515C" w:rsidRPr="00326579" w:rsidRDefault="00A7515C" w:rsidP="00B6748E">
            <w:pPr>
              <w:spacing w:after="0"/>
              <w:jc w:val="left"/>
              <w:rPr>
                <w:rFonts w:cs="Arial"/>
                <w:color w:val="000000"/>
              </w:rPr>
            </w:pPr>
            <w:r w:rsidRPr="00326579">
              <w:rPr>
                <w:rFonts w:cs="Arial"/>
                <w:color w:val="000000"/>
              </w:rPr>
              <w:t>Financial Assistance Write Off</w:t>
            </w:r>
          </w:p>
        </w:tc>
        <w:tc>
          <w:tcPr>
            <w:tcW w:w="1705" w:type="dxa"/>
            <w:tcBorders>
              <w:top w:val="single" w:sz="4" w:space="0" w:color="8EA9DB"/>
              <w:left w:val="nil"/>
              <w:bottom w:val="single" w:sz="4" w:space="0" w:color="8EA9DB"/>
              <w:right w:val="single" w:sz="4" w:space="0" w:color="8EA9DB"/>
            </w:tcBorders>
            <w:shd w:val="clear" w:color="auto" w:fill="auto"/>
            <w:noWrap/>
            <w:vAlign w:val="bottom"/>
            <w:hideMark/>
          </w:tcPr>
          <w:p w14:paraId="48E66593" w14:textId="77777777" w:rsidR="00A7515C" w:rsidRPr="00326579" w:rsidRDefault="00A7515C" w:rsidP="00B6748E">
            <w:pPr>
              <w:tabs>
                <w:tab w:val="right" w:pos="1288"/>
              </w:tabs>
              <w:spacing w:after="0"/>
              <w:jc w:val="left"/>
              <w:rPr>
                <w:rFonts w:cs="Arial"/>
                <w:color w:val="000000"/>
              </w:rPr>
            </w:pPr>
            <w:r w:rsidRPr="00326579">
              <w:rPr>
                <w:rFonts w:cs="Arial"/>
                <w:color w:val="000000"/>
              </w:rPr>
              <w:t>$</w:t>
            </w:r>
            <w:r w:rsidRPr="00326579">
              <w:rPr>
                <w:rFonts w:cs="Arial"/>
                <w:color w:val="000000"/>
              </w:rPr>
              <w:tab/>
              <w:t>1,200.00</w:t>
            </w:r>
          </w:p>
        </w:tc>
      </w:tr>
      <w:tr w:rsidR="00A7515C" w:rsidRPr="00326579" w14:paraId="11BB6F59" w14:textId="77777777" w:rsidTr="00B6748E">
        <w:trPr>
          <w:cantSplit/>
          <w:trHeight w:val="300"/>
          <w:jc w:val="center"/>
        </w:trPr>
        <w:tc>
          <w:tcPr>
            <w:tcW w:w="4699" w:type="dxa"/>
            <w:tcBorders>
              <w:top w:val="double" w:sz="6" w:space="0" w:color="4472C4"/>
              <w:left w:val="single" w:sz="4" w:space="0" w:color="8EA9DB"/>
              <w:bottom w:val="single" w:sz="4" w:space="0" w:color="8EA9DB"/>
              <w:right w:val="nil"/>
            </w:tcBorders>
            <w:shd w:val="clear" w:color="auto" w:fill="auto"/>
            <w:noWrap/>
            <w:vAlign w:val="bottom"/>
            <w:hideMark/>
          </w:tcPr>
          <w:p w14:paraId="55F9F68C" w14:textId="77777777" w:rsidR="00A7515C" w:rsidRPr="00326579" w:rsidRDefault="00A7515C" w:rsidP="00B6748E">
            <w:pPr>
              <w:spacing w:after="0"/>
              <w:jc w:val="left"/>
              <w:rPr>
                <w:rFonts w:cs="Arial"/>
                <w:b/>
                <w:bCs/>
                <w:color w:val="000000"/>
              </w:rPr>
            </w:pPr>
            <w:r w:rsidRPr="00326579">
              <w:rPr>
                <w:rFonts w:cs="Arial"/>
                <w:b/>
                <w:bCs/>
                <w:color w:val="000000"/>
              </w:rPr>
              <w:t>Balance Due</w:t>
            </w:r>
          </w:p>
        </w:tc>
        <w:tc>
          <w:tcPr>
            <w:tcW w:w="1705" w:type="dxa"/>
            <w:tcBorders>
              <w:top w:val="double" w:sz="6" w:space="0" w:color="4472C4"/>
              <w:left w:val="nil"/>
              <w:bottom w:val="single" w:sz="4" w:space="0" w:color="8EA9DB"/>
              <w:right w:val="single" w:sz="4" w:space="0" w:color="8EA9DB"/>
            </w:tcBorders>
            <w:shd w:val="clear" w:color="auto" w:fill="auto"/>
            <w:noWrap/>
            <w:vAlign w:val="bottom"/>
            <w:hideMark/>
          </w:tcPr>
          <w:p w14:paraId="71743252" w14:textId="77777777" w:rsidR="00A7515C" w:rsidRPr="00326579" w:rsidRDefault="00A7515C" w:rsidP="00B6748E">
            <w:pPr>
              <w:tabs>
                <w:tab w:val="right" w:pos="1288"/>
              </w:tabs>
              <w:spacing w:after="0"/>
              <w:jc w:val="left"/>
              <w:rPr>
                <w:rFonts w:cs="Arial"/>
                <w:b/>
                <w:bCs/>
                <w:color w:val="000000"/>
              </w:rPr>
            </w:pPr>
            <w:r w:rsidRPr="00326579">
              <w:rPr>
                <w:rFonts w:cs="Arial"/>
                <w:b/>
                <w:bCs/>
                <w:color w:val="000000"/>
              </w:rPr>
              <w:t>$</w:t>
            </w:r>
            <w:r w:rsidRPr="00326579">
              <w:rPr>
                <w:rFonts w:cs="Arial"/>
                <w:b/>
                <w:bCs/>
                <w:color w:val="000000"/>
              </w:rPr>
              <w:tab/>
              <w:t>3,800.00</w:t>
            </w:r>
          </w:p>
        </w:tc>
      </w:tr>
    </w:tbl>
    <w:p w14:paraId="5EAB7109" w14:textId="77777777" w:rsidR="00A7515C" w:rsidRDefault="00A7515C" w:rsidP="00A7515C"/>
    <w:p w14:paraId="721C5FF3" w14:textId="77777777" w:rsidR="00A7515C" w:rsidRDefault="00A7515C" w:rsidP="00A7515C">
      <w:pPr>
        <w:pStyle w:val="ListParagraph"/>
        <w:numPr>
          <w:ilvl w:val="1"/>
          <w:numId w:val="8"/>
        </w:numPr>
      </w:pPr>
      <w:r>
        <w:t>The income level criteria for Financial Assistance are based on current Federal Poverty Guidelines which are issued in January of each year in the Federal Register</w:t>
      </w:r>
      <w:r>
        <w:rPr>
          <w:rStyle w:val="FootnoteReference"/>
        </w:rPr>
        <w:footnoteReference w:id="1"/>
      </w:r>
      <w:r>
        <w:t>. The following are general guidelines for Financial Assistance approval:</w:t>
      </w:r>
    </w:p>
    <w:p w14:paraId="4599ECE1" w14:textId="77777777" w:rsidR="00A7515C" w:rsidRDefault="00A7515C" w:rsidP="00A7515C"/>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620"/>
        <w:gridCol w:w="1297"/>
      </w:tblGrid>
      <w:tr w:rsidR="00A7515C" w:rsidRPr="00A81B8C" w14:paraId="47FBDF45" w14:textId="77777777" w:rsidTr="00B6748E">
        <w:trPr>
          <w:trHeight w:val="300"/>
          <w:jc w:val="center"/>
        </w:trPr>
        <w:tc>
          <w:tcPr>
            <w:tcW w:w="3239" w:type="dxa"/>
            <w:gridSpan w:val="2"/>
            <w:shd w:val="clear" w:color="auto" w:fill="F2F2F2" w:themeFill="background1" w:themeFillShade="F2"/>
            <w:noWrap/>
            <w:vAlign w:val="bottom"/>
            <w:hideMark/>
          </w:tcPr>
          <w:p w14:paraId="3D215A77" w14:textId="77777777" w:rsidR="00A7515C" w:rsidRPr="00A81B8C" w:rsidRDefault="00A7515C" w:rsidP="00A7515C">
            <w:pPr>
              <w:keepNext/>
              <w:spacing w:after="0"/>
              <w:jc w:val="center"/>
              <w:rPr>
                <w:rFonts w:cs="Arial"/>
                <w:b/>
                <w:color w:val="000000"/>
              </w:rPr>
            </w:pPr>
            <w:r w:rsidRPr="00A81B8C">
              <w:rPr>
                <w:rFonts w:cs="Arial"/>
                <w:b/>
                <w:color w:val="000000"/>
              </w:rPr>
              <w:lastRenderedPageBreak/>
              <w:t>Federal Poverty Level %</w:t>
            </w:r>
          </w:p>
        </w:tc>
        <w:tc>
          <w:tcPr>
            <w:tcW w:w="1297" w:type="dxa"/>
            <w:shd w:val="clear" w:color="auto" w:fill="F2F2F2" w:themeFill="background1" w:themeFillShade="F2"/>
            <w:noWrap/>
            <w:vAlign w:val="bottom"/>
            <w:hideMark/>
          </w:tcPr>
          <w:p w14:paraId="43986232" w14:textId="77777777" w:rsidR="00A7515C" w:rsidRPr="00A81B8C" w:rsidRDefault="00A7515C" w:rsidP="00A7515C">
            <w:pPr>
              <w:keepNext/>
              <w:spacing w:after="0"/>
              <w:jc w:val="center"/>
              <w:rPr>
                <w:rFonts w:cs="Arial"/>
                <w:b/>
                <w:color w:val="000000"/>
              </w:rPr>
            </w:pPr>
          </w:p>
        </w:tc>
      </w:tr>
      <w:tr w:rsidR="00A7515C" w:rsidRPr="00A81B8C" w14:paraId="22F0F644" w14:textId="77777777" w:rsidTr="00B6748E">
        <w:trPr>
          <w:trHeight w:val="300"/>
          <w:jc w:val="center"/>
        </w:trPr>
        <w:tc>
          <w:tcPr>
            <w:tcW w:w="1619" w:type="dxa"/>
            <w:shd w:val="clear" w:color="auto" w:fill="F2F2F2" w:themeFill="background1" w:themeFillShade="F2"/>
            <w:noWrap/>
            <w:vAlign w:val="center"/>
            <w:hideMark/>
          </w:tcPr>
          <w:p w14:paraId="24B1425E" w14:textId="77777777" w:rsidR="00A7515C" w:rsidRPr="00A81B8C" w:rsidRDefault="00A7515C" w:rsidP="00A7515C">
            <w:pPr>
              <w:keepNext/>
              <w:spacing w:after="0"/>
              <w:jc w:val="right"/>
              <w:rPr>
                <w:rFonts w:cs="Arial"/>
                <w:b/>
                <w:color w:val="000000"/>
              </w:rPr>
            </w:pPr>
            <w:r w:rsidRPr="00A81B8C">
              <w:rPr>
                <w:rFonts w:cs="Arial"/>
                <w:b/>
                <w:color w:val="000000"/>
              </w:rPr>
              <w:t>From</w:t>
            </w:r>
          </w:p>
        </w:tc>
        <w:tc>
          <w:tcPr>
            <w:tcW w:w="1620" w:type="dxa"/>
            <w:shd w:val="clear" w:color="auto" w:fill="F2F2F2" w:themeFill="background1" w:themeFillShade="F2"/>
            <w:noWrap/>
            <w:vAlign w:val="center"/>
            <w:hideMark/>
          </w:tcPr>
          <w:p w14:paraId="3F4BE3FE" w14:textId="77777777" w:rsidR="00A7515C" w:rsidRPr="00A81B8C" w:rsidRDefault="00A7515C" w:rsidP="00A7515C">
            <w:pPr>
              <w:keepNext/>
              <w:spacing w:after="0"/>
              <w:jc w:val="right"/>
              <w:rPr>
                <w:rFonts w:cs="Arial"/>
                <w:b/>
                <w:color w:val="000000"/>
              </w:rPr>
            </w:pPr>
            <w:r w:rsidRPr="00A81B8C">
              <w:rPr>
                <w:rFonts w:cs="Arial"/>
                <w:b/>
                <w:color w:val="000000"/>
              </w:rPr>
              <w:t>To</w:t>
            </w:r>
          </w:p>
        </w:tc>
        <w:tc>
          <w:tcPr>
            <w:tcW w:w="1297" w:type="dxa"/>
            <w:shd w:val="clear" w:color="auto" w:fill="F2F2F2" w:themeFill="background1" w:themeFillShade="F2"/>
            <w:noWrap/>
            <w:vAlign w:val="center"/>
            <w:hideMark/>
          </w:tcPr>
          <w:p w14:paraId="5D766AED" w14:textId="77777777" w:rsidR="00A7515C" w:rsidRPr="00A81B8C" w:rsidRDefault="00A7515C" w:rsidP="00A7515C">
            <w:pPr>
              <w:keepNext/>
              <w:spacing w:after="0"/>
              <w:jc w:val="right"/>
              <w:rPr>
                <w:rFonts w:cs="Arial"/>
                <w:b/>
                <w:color w:val="000000"/>
              </w:rPr>
            </w:pPr>
            <w:r w:rsidRPr="00A81B8C">
              <w:rPr>
                <w:rFonts w:cs="Arial"/>
                <w:b/>
                <w:color w:val="000000"/>
              </w:rPr>
              <w:t>W/O %</w:t>
            </w:r>
          </w:p>
        </w:tc>
      </w:tr>
      <w:tr w:rsidR="00A7515C" w:rsidRPr="00A81B8C" w14:paraId="3E4F6599" w14:textId="77777777" w:rsidTr="00B6748E">
        <w:trPr>
          <w:trHeight w:val="300"/>
          <w:jc w:val="center"/>
        </w:trPr>
        <w:tc>
          <w:tcPr>
            <w:tcW w:w="1619" w:type="dxa"/>
            <w:shd w:val="clear" w:color="auto" w:fill="auto"/>
            <w:noWrap/>
            <w:vAlign w:val="center"/>
            <w:hideMark/>
          </w:tcPr>
          <w:p w14:paraId="11246553" w14:textId="77777777" w:rsidR="00A7515C" w:rsidRPr="00A81B8C" w:rsidRDefault="00A7515C" w:rsidP="00A7515C">
            <w:pPr>
              <w:keepNext/>
              <w:spacing w:after="0"/>
              <w:jc w:val="right"/>
              <w:rPr>
                <w:rFonts w:cs="Arial"/>
                <w:color w:val="000000"/>
              </w:rPr>
            </w:pPr>
            <w:r w:rsidRPr="00A81B8C">
              <w:rPr>
                <w:rFonts w:cs="Arial"/>
                <w:color w:val="000000"/>
              </w:rPr>
              <w:t>0.00%</w:t>
            </w:r>
          </w:p>
        </w:tc>
        <w:tc>
          <w:tcPr>
            <w:tcW w:w="1620" w:type="dxa"/>
            <w:shd w:val="clear" w:color="auto" w:fill="auto"/>
            <w:noWrap/>
            <w:vAlign w:val="center"/>
            <w:hideMark/>
          </w:tcPr>
          <w:p w14:paraId="3C4FD3BB" w14:textId="77777777" w:rsidR="00A7515C" w:rsidRPr="00A81B8C" w:rsidRDefault="00A7515C" w:rsidP="00A7515C">
            <w:pPr>
              <w:keepNext/>
              <w:spacing w:after="0"/>
              <w:jc w:val="right"/>
              <w:rPr>
                <w:rFonts w:cs="Arial"/>
                <w:color w:val="000000"/>
              </w:rPr>
            </w:pPr>
            <w:r>
              <w:rPr>
                <w:rFonts w:cs="Arial"/>
                <w:color w:val="000000"/>
              </w:rPr>
              <w:t>150</w:t>
            </w:r>
            <w:r w:rsidRPr="00A81B8C">
              <w:rPr>
                <w:rFonts w:cs="Arial"/>
                <w:color w:val="000000"/>
              </w:rPr>
              <w:t>.99%</w:t>
            </w:r>
          </w:p>
        </w:tc>
        <w:tc>
          <w:tcPr>
            <w:tcW w:w="1297" w:type="dxa"/>
            <w:shd w:val="clear" w:color="auto" w:fill="auto"/>
            <w:noWrap/>
            <w:vAlign w:val="center"/>
            <w:hideMark/>
          </w:tcPr>
          <w:p w14:paraId="5D7A77B6" w14:textId="77777777" w:rsidR="00A7515C" w:rsidRPr="00A81B8C" w:rsidRDefault="00A7515C" w:rsidP="00A7515C">
            <w:pPr>
              <w:keepNext/>
              <w:spacing w:after="0"/>
              <w:jc w:val="right"/>
              <w:rPr>
                <w:rFonts w:cs="Arial"/>
                <w:color w:val="000000"/>
              </w:rPr>
            </w:pPr>
            <w:r w:rsidRPr="00A81B8C">
              <w:rPr>
                <w:rFonts w:cs="Arial"/>
                <w:color w:val="000000"/>
              </w:rPr>
              <w:t>100%</w:t>
            </w:r>
          </w:p>
        </w:tc>
      </w:tr>
      <w:tr w:rsidR="00A7515C" w:rsidRPr="00A81B8C" w14:paraId="6B0D9A1D" w14:textId="77777777" w:rsidTr="00B6748E">
        <w:trPr>
          <w:trHeight w:val="300"/>
          <w:jc w:val="center"/>
        </w:trPr>
        <w:tc>
          <w:tcPr>
            <w:tcW w:w="1619" w:type="dxa"/>
            <w:shd w:val="clear" w:color="auto" w:fill="auto"/>
            <w:noWrap/>
            <w:vAlign w:val="center"/>
            <w:hideMark/>
          </w:tcPr>
          <w:p w14:paraId="06F96851" w14:textId="77777777" w:rsidR="00A7515C" w:rsidRPr="00A81B8C" w:rsidRDefault="00A7515C" w:rsidP="00A7515C">
            <w:pPr>
              <w:keepNext/>
              <w:spacing w:after="0"/>
              <w:jc w:val="right"/>
              <w:rPr>
                <w:rFonts w:cs="Arial"/>
                <w:color w:val="000000"/>
              </w:rPr>
            </w:pPr>
            <w:r>
              <w:rPr>
                <w:rFonts w:cs="Arial"/>
                <w:color w:val="000000"/>
              </w:rPr>
              <w:t>151</w:t>
            </w:r>
            <w:r w:rsidRPr="00A81B8C">
              <w:rPr>
                <w:rFonts w:cs="Arial"/>
                <w:color w:val="000000"/>
              </w:rPr>
              <w:t>.00%</w:t>
            </w:r>
          </w:p>
        </w:tc>
        <w:tc>
          <w:tcPr>
            <w:tcW w:w="1620" w:type="dxa"/>
            <w:shd w:val="clear" w:color="auto" w:fill="auto"/>
            <w:noWrap/>
            <w:vAlign w:val="center"/>
            <w:hideMark/>
          </w:tcPr>
          <w:p w14:paraId="292394B7" w14:textId="77777777" w:rsidR="00A7515C" w:rsidRPr="00A81B8C" w:rsidRDefault="00A7515C" w:rsidP="00A7515C">
            <w:pPr>
              <w:keepNext/>
              <w:spacing w:after="0"/>
              <w:jc w:val="right"/>
              <w:rPr>
                <w:rFonts w:cs="Arial"/>
                <w:color w:val="000000"/>
              </w:rPr>
            </w:pPr>
            <w:r>
              <w:rPr>
                <w:rFonts w:cs="Arial"/>
                <w:color w:val="000000"/>
              </w:rPr>
              <w:t>220</w:t>
            </w:r>
            <w:r w:rsidRPr="00A81B8C">
              <w:rPr>
                <w:rFonts w:cs="Arial"/>
                <w:color w:val="000000"/>
              </w:rPr>
              <w:t>.99%</w:t>
            </w:r>
          </w:p>
        </w:tc>
        <w:tc>
          <w:tcPr>
            <w:tcW w:w="1297" w:type="dxa"/>
            <w:shd w:val="clear" w:color="auto" w:fill="auto"/>
            <w:noWrap/>
            <w:vAlign w:val="center"/>
            <w:hideMark/>
          </w:tcPr>
          <w:p w14:paraId="550CE72D" w14:textId="77777777" w:rsidR="00A7515C" w:rsidRPr="00A81B8C" w:rsidRDefault="00A7515C" w:rsidP="00A7515C">
            <w:pPr>
              <w:keepNext/>
              <w:spacing w:after="0"/>
              <w:jc w:val="right"/>
              <w:rPr>
                <w:rFonts w:cs="Arial"/>
                <w:color w:val="000000"/>
              </w:rPr>
            </w:pPr>
            <w:r>
              <w:rPr>
                <w:rFonts w:cs="Arial"/>
                <w:color w:val="000000"/>
              </w:rPr>
              <w:t>80</w:t>
            </w:r>
            <w:r w:rsidRPr="00A81B8C">
              <w:rPr>
                <w:rFonts w:cs="Arial"/>
                <w:color w:val="000000"/>
              </w:rPr>
              <w:t>%</w:t>
            </w:r>
          </w:p>
        </w:tc>
      </w:tr>
      <w:tr w:rsidR="00A7515C" w:rsidRPr="00A81B8C" w14:paraId="606627F2" w14:textId="77777777" w:rsidTr="00B6748E">
        <w:trPr>
          <w:trHeight w:val="300"/>
          <w:jc w:val="center"/>
        </w:trPr>
        <w:tc>
          <w:tcPr>
            <w:tcW w:w="1619" w:type="dxa"/>
            <w:shd w:val="clear" w:color="auto" w:fill="auto"/>
            <w:noWrap/>
            <w:vAlign w:val="center"/>
            <w:hideMark/>
          </w:tcPr>
          <w:p w14:paraId="03DE328A" w14:textId="77777777" w:rsidR="00A7515C" w:rsidRPr="00A81B8C" w:rsidRDefault="00A7515C" w:rsidP="00A7515C">
            <w:pPr>
              <w:keepNext/>
              <w:spacing w:after="0"/>
              <w:jc w:val="right"/>
              <w:rPr>
                <w:rFonts w:cs="Arial"/>
                <w:color w:val="000000"/>
              </w:rPr>
            </w:pPr>
            <w:r>
              <w:rPr>
                <w:rFonts w:cs="Arial"/>
                <w:color w:val="000000"/>
              </w:rPr>
              <w:t>221</w:t>
            </w:r>
            <w:r w:rsidRPr="00A81B8C">
              <w:rPr>
                <w:rFonts w:cs="Arial"/>
                <w:color w:val="000000"/>
              </w:rPr>
              <w:t>.00%</w:t>
            </w:r>
          </w:p>
        </w:tc>
        <w:tc>
          <w:tcPr>
            <w:tcW w:w="1620" w:type="dxa"/>
            <w:shd w:val="clear" w:color="auto" w:fill="auto"/>
            <w:noWrap/>
            <w:vAlign w:val="center"/>
            <w:hideMark/>
          </w:tcPr>
          <w:p w14:paraId="7E45901A" w14:textId="77777777" w:rsidR="00A7515C" w:rsidRPr="00A81B8C" w:rsidRDefault="00A7515C" w:rsidP="00A7515C">
            <w:pPr>
              <w:keepNext/>
              <w:spacing w:after="0"/>
              <w:jc w:val="right"/>
              <w:rPr>
                <w:rFonts w:cs="Arial"/>
                <w:color w:val="000000"/>
              </w:rPr>
            </w:pPr>
            <w:r>
              <w:rPr>
                <w:rFonts w:cs="Arial"/>
                <w:color w:val="000000"/>
              </w:rPr>
              <w:t>240</w:t>
            </w:r>
            <w:r w:rsidRPr="00A81B8C">
              <w:rPr>
                <w:rFonts w:cs="Arial"/>
                <w:color w:val="000000"/>
              </w:rPr>
              <w:t>.99%</w:t>
            </w:r>
          </w:p>
        </w:tc>
        <w:tc>
          <w:tcPr>
            <w:tcW w:w="1297" w:type="dxa"/>
            <w:shd w:val="clear" w:color="auto" w:fill="auto"/>
            <w:noWrap/>
            <w:vAlign w:val="center"/>
            <w:hideMark/>
          </w:tcPr>
          <w:p w14:paraId="4DB62995" w14:textId="77777777" w:rsidR="00A7515C" w:rsidRPr="00A81B8C" w:rsidRDefault="00A7515C" w:rsidP="00A7515C">
            <w:pPr>
              <w:keepNext/>
              <w:spacing w:after="0"/>
              <w:jc w:val="right"/>
              <w:rPr>
                <w:rFonts w:cs="Arial"/>
                <w:color w:val="000000"/>
              </w:rPr>
            </w:pPr>
            <w:r>
              <w:rPr>
                <w:rFonts w:cs="Arial"/>
                <w:color w:val="000000"/>
              </w:rPr>
              <w:t>60</w:t>
            </w:r>
            <w:r w:rsidRPr="00A81B8C">
              <w:rPr>
                <w:rFonts w:cs="Arial"/>
                <w:color w:val="000000"/>
              </w:rPr>
              <w:t>.00%</w:t>
            </w:r>
          </w:p>
        </w:tc>
      </w:tr>
      <w:tr w:rsidR="00A7515C" w:rsidRPr="00A81B8C" w14:paraId="4037227C" w14:textId="77777777" w:rsidTr="00B6748E">
        <w:trPr>
          <w:trHeight w:val="300"/>
          <w:jc w:val="center"/>
        </w:trPr>
        <w:tc>
          <w:tcPr>
            <w:tcW w:w="1619" w:type="dxa"/>
            <w:shd w:val="clear" w:color="auto" w:fill="auto"/>
            <w:noWrap/>
            <w:vAlign w:val="center"/>
            <w:hideMark/>
          </w:tcPr>
          <w:p w14:paraId="4A17618E" w14:textId="77777777" w:rsidR="00A7515C" w:rsidRPr="00A81B8C" w:rsidRDefault="00A7515C" w:rsidP="00A7515C">
            <w:pPr>
              <w:keepNext/>
              <w:spacing w:after="0"/>
              <w:jc w:val="right"/>
              <w:rPr>
                <w:rFonts w:cs="Arial"/>
                <w:color w:val="000000"/>
              </w:rPr>
            </w:pPr>
            <w:r>
              <w:rPr>
                <w:rFonts w:cs="Arial"/>
                <w:color w:val="000000"/>
              </w:rPr>
              <w:t>241</w:t>
            </w:r>
            <w:r w:rsidRPr="00A81B8C">
              <w:rPr>
                <w:rFonts w:cs="Arial"/>
                <w:color w:val="000000"/>
              </w:rPr>
              <w:t>.00%</w:t>
            </w:r>
          </w:p>
        </w:tc>
        <w:tc>
          <w:tcPr>
            <w:tcW w:w="1620" w:type="dxa"/>
            <w:shd w:val="clear" w:color="auto" w:fill="auto"/>
            <w:noWrap/>
            <w:vAlign w:val="center"/>
            <w:hideMark/>
          </w:tcPr>
          <w:p w14:paraId="7E065AFA" w14:textId="77777777" w:rsidR="00A7515C" w:rsidRPr="00A81B8C" w:rsidRDefault="00A7515C" w:rsidP="00A7515C">
            <w:pPr>
              <w:keepNext/>
              <w:spacing w:after="0"/>
              <w:jc w:val="right"/>
              <w:rPr>
                <w:rFonts w:cs="Arial"/>
                <w:color w:val="000000"/>
              </w:rPr>
            </w:pPr>
            <w:r w:rsidRPr="00A81B8C">
              <w:rPr>
                <w:rFonts w:cs="Arial"/>
                <w:color w:val="000000"/>
              </w:rPr>
              <w:t>2</w:t>
            </w:r>
            <w:r>
              <w:rPr>
                <w:rFonts w:cs="Arial"/>
                <w:color w:val="000000"/>
              </w:rPr>
              <w:t>60</w:t>
            </w:r>
            <w:r w:rsidRPr="00A81B8C">
              <w:rPr>
                <w:rFonts w:cs="Arial"/>
                <w:color w:val="000000"/>
              </w:rPr>
              <w:t>.99%</w:t>
            </w:r>
          </w:p>
        </w:tc>
        <w:tc>
          <w:tcPr>
            <w:tcW w:w="1297" w:type="dxa"/>
            <w:shd w:val="clear" w:color="auto" w:fill="auto"/>
            <w:noWrap/>
            <w:vAlign w:val="center"/>
            <w:hideMark/>
          </w:tcPr>
          <w:p w14:paraId="54DD1338" w14:textId="77777777" w:rsidR="00A7515C" w:rsidRPr="00A81B8C" w:rsidRDefault="00A7515C" w:rsidP="00A7515C">
            <w:pPr>
              <w:keepNext/>
              <w:spacing w:after="0"/>
              <w:jc w:val="right"/>
              <w:rPr>
                <w:rFonts w:cs="Arial"/>
                <w:color w:val="000000"/>
              </w:rPr>
            </w:pPr>
            <w:r>
              <w:rPr>
                <w:rFonts w:cs="Arial"/>
                <w:color w:val="000000"/>
              </w:rPr>
              <w:t>40</w:t>
            </w:r>
            <w:r w:rsidRPr="00A81B8C">
              <w:rPr>
                <w:rFonts w:cs="Arial"/>
                <w:color w:val="000000"/>
              </w:rPr>
              <w:t>.00%</w:t>
            </w:r>
          </w:p>
        </w:tc>
      </w:tr>
      <w:tr w:rsidR="00A7515C" w:rsidRPr="00A81B8C" w14:paraId="741149C8" w14:textId="77777777" w:rsidTr="00B6748E">
        <w:trPr>
          <w:trHeight w:val="300"/>
          <w:jc w:val="center"/>
        </w:trPr>
        <w:tc>
          <w:tcPr>
            <w:tcW w:w="1619" w:type="dxa"/>
            <w:shd w:val="clear" w:color="auto" w:fill="auto"/>
            <w:noWrap/>
            <w:vAlign w:val="center"/>
            <w:hideMark/>
          </w:tcPr>
          <w:p w14:paraId="1E32D267" w14:textId="77777777" w:rsidR="00A7515C" w:rsidRPr="00A81B8C" w:rsidRDefault="00A7515C" w:rsidP="00B6748E">
            <w:pPr>
              <w:spacing w:after="0"/>
              <w:jc w:val="right"/>
              <w:rPr>
                <w:rFonts w:cs="Arial"/>
                <w:color w:val="000000"/>
              </w:rPr>
            </w:pPr>
            <w:r>
              <w:rPr>
                <w:rFonts w:cs="Arial"/>
                <w:color w:val="000000"/>
              </w:rPr>
              <w:t>261</w:t>
            </w:r>
            <w:r w:rsidRPr="00A81B8C">
              <w:rPr>
                <w:rFonts w:cs="Arial"/>
                <w:color w:val="000000"/>
              </w:rPr>
              <w:t>.00%</w:t>
            </w:r>
          </w:p>
        </w:tc>
        <w:tc>
          <w:tcPr>
            <w:tcW w:w="1620" w:type="dxa"/>
            <w:shd w:val="clear" w:color="auto" w:fill="auto"/>
            <w:noWrap/>
            <w:vAlign w:val="center"/>
            <w:hideMark/>
          </w:tcPr>
          <w:p w14:paraId="1EBE8DB7" w14:textId="77777777" w:rsidR="00A7515C" w:rsidRPr="00A81B8C" w:rsidRDefault="00A7515C" w:rsidP="00B6748E">
            <w:pPr>
              <w:spacing w:after="0"/>
              <w:jc w:val="right"/>
              <w:rPr>
                <w:rFonts w:cs="Arial"/>
                <w:color w:val="000000"/>
              </w:rPr>
            </w:pPr>
            <w:r>
              <w:rPr>
                <w:rFonts w:cs="Arial"/>
                <w:color w:val="000000"/>
              </w:rPr>
              <w:t>299</w:t>
            </w:r>
            <w:r w:rsidRPr="00A81B8C">
              <w:rPr>
                <w:rFonts w:cs="Arial"/>
                <w:color w:val="000000"/>
              </w:rPr>
              <w:t>.99%</w:t>
            </w:r>
          </w:p>
        </w:tc>
        <w:tc>
          <w:tcPr>
            <w:tcW w:w="1297" w:type="dxa"/>
            <w:shd w:val="clear" w:color="auto" w:fill="auto"/>
            <w:noWrap/>
            <w:vAlign w:val="center"/>
            <w:hideMark/>
          </w:tcPr>
          <w:p w14:paraId="0F4F6639" w14:textId="77777777" w:rsidR="00A7515C" w:rsidRPr="00A81B8C" w:rsidRDefault="00A7515C" w:rsidP="00B6748E">
            <w:pPr>
              <w:spacing w:after="0"/>
              <w:jc w:val="right"/>
              <w:rPr>
                <w:rFonts w:cs="Arial"/>
                <w:color w:val="000000"/>
              </w:rPr>
            </w:pPr>
            <w:r>
              <w:rPr>
                <w:rFonts w:cs="Arial"/>
                <w:color w:val="000000"/>
              </w:rPr>
              <w:t>20</w:t>
            </w:r>
            <w:r w:rsidRPr="00A81B8C">
              <w:rPr>
                <w:rFonts w:cs="Arial"/>
                <w:color w:val="000000"/>
              </w:rPr>
              <w:t>.00%</w:t>
            </w:r>
          </w:p>
        </w:tc>
      </w:tr>
    </w:tbl>
    <w:p w14:paraId="56487CE2" w14:textId="77777777" w:rsidR="00A7515C" w:rsidRDefault="00A7515C" w:rsidP="00A7515C"/>
    <w:p w14:paraId="35EBD46D" w14:textId="77777777" w:rsidR="00A7515C" w:rsidRDefault="00A7515C" w:rsidP="00A7515C">
      <w:pPr>
        <w:pStyle w:val="ListParagraph"/>
        <w:numPr>
          <w:ilvl w:val="1"/>
          <w:numId w:val="8"/>
        </w:numPr>
      </w:pPr>
      <w:r>
        <w:t>Patients whose family income exceeds 300% of the Federal Poverty Level may be eligible to receive discounts as determined by IMH at its discretion on a case-by-case basis based on their specific circumstances.</w:t>
      </w:r>
    </w:p>
    <w:p w14:paraId="334129C6" w14:textId="77777777" w:rsidR="00A7515C" w:rsidRDefault="00A7515C" w:rsidP="00A7515C">
      <w:pPr>
        <w:pStyle w:val="ListParagraph"/>
        <w:numPr>
          <w:ilvl w:val="1"/>
          <w:numId w:val="8"/>
        </w:numPr>
      </w:pPr>
      <w:r>
        <w:t>IMH, at its discretion and based on information obtained, may leave some financial responsibility to the patient.</w:t>
      </w:r>
    </w:p>
    <w:p w14:paraId="65EC520A" w14:textId="77777777" w:rsidR="00A7515C" w:rsidRDefault="00A7515C" w:rsidP="00A7515C">
      <w:pPr>
        <w:pStyle w:val="ListParagraph"/>
        <w:keepNext/>
        <w:numPr>
          <w:ilvl w:val="0"/>
          <w:numId w:val="9"/>
        </w:numPr>
        <w:rPr>
          <w:rFonts w:cs="Arial"/>
        </w:rPr>
      </w:pPr>
      <w:r w:rsidRPr="00D13D4D">
        <w:rPr>
          <w:b/>
        </w:rPr>
        <w:t>Limitation on Charges</w:t>
      </w:r>
    </w:p>
    <w:p w14:paraId="361443EB" w14:textId="77777777" w:rsidR="00A7515C" w:rsidRPr="00A17896" w:rsidRDefault="00A7515C" w:rsidP="00A7515C">
      <w:pPr>
        <w:pStyle w:val="ListParagraph"/>
        <w:numPr>
          <w:ilvl w:val="1"/>
          <w:numId w:val="9"/>
        </w:numPr>
        <w:rPr>
          <w:rFonts w:cs="Arial"/>
        </w:rPr>
      </w:pPr>
      <w:r w:rsidRPr="00A17896">
        <w:rPr>
          <w:rFonts w:cs="Arial"/>
        </w:rPr>
        <w:t>All patients who qualify for Financial Assistance under this policy will not be charged more than AGB for covered services.</w:t>
      </w:r>
    </w:p>
    <w:p w14:paraId="427E52A2" w14:textId="77777777" w:rsidR="00A7515C" w:rsidRPr="00A17896" w:rsidRDefault="00A7515C" w:rsidP="00A7515C">
      <w:pPr>
        <w:pStyle w:val="ListParagraph"/>
        <w:numPr>
          <w:ilvl w:val="1"/>
          <w:numId w:val="9"/>
        </w:numPr>
        <w:rPr>
          <w:rFonts w:cs="Arial"/>
        </w:rPr>
      </w:pPr>
      <w:r w:rsidRPr="00A17896">
        <w:rPr>
          <w:rFonts w:cs="Arial"/>
        </w:rPr>
        <w:t xml:space="preserve">Ivinson Memorial Hospital uses the “look -back” method to calculate AGB. This method involves looking at qualified claims over a 12-month period and dividing the amounts allowed by Medicare and commercial insurances for covered individuals by the gross charges. This calculation will be updated annually. </w:t>
      </w:r>
    </w:p>
    <w:p w14:paraId="0334D68A" w14:textId="77777777" w:rsidR="00A7515C" w:rsidRDefault="00A7515C" w:rsidP="00A7515C">
      <w:pPr>
        <w:pStyle w:val="ListParagraph"/>
        <w:numPr>
          <w:ilvl w:val="1"/>
          <w:numId w:val="9"/>
        </w:numPr>
        <w:rPr>
          <w:rFonts w:cs="Arial"/>
        </w:rPr>
      </w:pPr>
      <w:r w:rsidRPr="00A17896">
        <w:rPr>
          <w:rFonts w:cs="Arial"/>
        </w:rPr>
        <w:t xml:space="preserve">To obtain a written copy of the current AGB percent and the calculation method free of charge, contact Patient Financial Services at (307)755-4385 or via email at </w:t>
      </w:r>
      <w:r>
        <w:rPr>
          <w:rFonts w:cs="Arial"/>
        </w:rPr>
        <w:t>billing@ivinsonhospital.org</w:t>
      </w:r>
      <w:r w:rsidRPr="00A17896">
        <w:rPr>
          <w:rFonts w:cs="Arial"/>
        </w:rPr>
        <w:t>.</w:t>
      </w:r>
    </w:p>
    <w:p w14:paraId="1D171CC4" w14:textId="4461429D" w:rsidR="00A7515C" w:rsidRPr="00A17896" w:rsidRDefault="00A7515C" w:rsidP="00A7515C">
      <w:pPr>
        <w:pStyle w:val="ListParagraph"/>
        <w:numPr>
          <w:ilvl w:val="0"/>
          <w:numId w:val="9"/>
        </w:numPr>
        <w:rPr>
          <w:rFonts w:cs="Arial"/>
        </w:rPr>
      </w:pPr>
      <w:r>
        <w:rPr>
          <w:rStyle w:val="Heading1Char"/>
        </w:rPr>
        <w:t>A free copy of the hospital’s financial assistance policy and the application forms are available on the Ivinson website</w:t>
      </w:r>
      <w:r>
        <w:t xml:space="preserve"> in both Spanish and English. Copies are also available in the Ivinson Business Office or can be mailed upon request by calling (307)755-4380. The Patient Financial Services staff is available to answer any questions and provide information about the Financial Assistance Policy at (307)755-4380.</w:t>
      </w:r>
    </w:p>
    <w:p w14:paraId="4CEAD8EE" w14:textId="77777777" w:rsidR="00CE388B" w:rsidRPr="00EC7F8D" w:rsidRDefault="00F326DC" w:rsidP="00EC7F8D">
      <w:pPr>
        <w:rPr>
          <w:b/>
          <w:bCs/>
        </w:rPr>
      </w:pPr>
      <w:r w:rsidRPr="00F326DC">
        <w:rPr>
          <w:b/>
          <w:bCs/>
        </w:rPr>
        <w:t>PROCEDURE:</w:t>
      </w:r>
    </w:p>
    <w:p w14:paraId="7140902A" w14:textId="77777777" w:rsidR="00A7515C" w:rsidRPr="00302141" w:rsidRDefault="00A7515C" w:rsidP="00A7515C">
      <w:pPr>
        <w:pStyle w:val="ListParagraph"/>
        <w:numPr>
          <w:ilvl w:val="0"/>
          <w:numId w:val="11"/>
        </w:numPr>
        <w:rPr>
          <w:rStyle w:val="Heading1Char"/>
        </w:rPr>
      </w:pPr>
      <w:r w:rsidRPr="00302141">
        <w:rPr>
          <w:rStyle w:val="Heading1Char"/>
        </w:rPr>
        <w:t>Financial Assistance Process:</w:t>
      </w:r>
      <w:r>
        <w:t xml:space="preserve"> Financial need will involve an individual assessment including the following:</w:t>
      </w:r>
    </w:p>
    <w:p w14:paraId="54E799D0" w14:textId="77777777" w:rsidR="00A7515C" w:rsidRDefault="00A7515C" w:rsidP="00A7515C">
      <w:pPr>
        <w:pStyle w:val="ListParagraph"/>
        <w:numPr>
          <w:ilvl w:val="1"/>
          <w:numId w:val="10"/>
        </w:numPr>
      </w:pPr>
      <w:r w:rsidRPr="00302141">
        <w:rPr>
          <w:rStyle w:val="Heading1Char"/>
        </w:rPr>
        <w:t>Step 1.</w:t>
      </w:r>
      <w:r>
        <w:t xml:space="preserve"> The patient or Responsible Party will complete and submit an application for Financial Assistance to the IMH Patient Financial Services Department. The patient or Responsible Party will provide personal, financial and other information and documentation relevant for IMH to make a proper determination of financial need as listed on the Financial Assistance application.</w:t>
      </w:r>
    </w:p>
    <w:p w14:paraId="54049275" w14:textId="77777777" w:rsidR="00A7515C" w:rsidRDefault="00A7515C" w:rsidP="00A7515C">
      <w:pPr>
        <w:pStyle w:val="ListParagraph"/>
        <w:numPr>
          <w:ilvl w:val="1"/>
          <w:numId w:val="10"/>
        </w:numPr>
      </w:pPr>
      <w:r>
        <w:t xml:space="preserve">If required documentation is not received with the application, the patient or responsible party will be notified of the additional information required and given 10 business days to provide. If the requested information is not received within the 10 business days, the financial assistance application will be denied. </w:t>
      </w:r>
    </w:p>
    <w:p w14:paraId="4E7380CC" w14:textId="77777777" w:rsidR="00A7515C" w:rsidRDefault="00A7515C" w:rsidP="00A7515C">
      <w:pPr>
        <w:pStyle w:val="ListParagraph"/>
        <w:numPr>
          <w:ilvl w:val="1"/>
          <w:numId w:val="10"/>
        </w:numPr>
      </w:pPr>
      <w:r w:rsidRPr="00302141">
        <w:rPr>
          <w:rStyle w:val="Heading1Char"/>
        </w:rPr>
        <w:t>Step 2.</w:t>
      </w:r>
      <w:r w:rsidRPr="002A108E">
        <w:t xml:space="preserve"> </w:t>
      </w:r>
      <w:r>
        <w:t xml:space="preserve">IMH will review the applications for Financial Assistance. As part of its review process, IMH may use external publicly available data sources that provide information on a patient or Responsible Party’s ability to pay (such as credit </w:t>
      </w:r>
      <w:r>
        <w:lastRenderedPageBreak/>
        <w:t>scoring). IMH may make reasonable efforts to explore appropriate alternative sources of payment and coverage from public and private payment programs. IMH may consider the patient or the Responsible Party’s available assets, and all other financial resources available to the patient.</w:t>
      </w:r>
    </w:p>
    <w:p w14:paraId="4020FA56" w14:textId="77777777" w:rsidR="00A7515C" w:rsidRDefault="00A7515C" w:rsidP="00A7515C">
      <w:pPr>
        <w:pStyle w:val="ListParagraph"/>
        <w:numPr>
          <w:ilvl w:val="1"/>
          <w:numId w:val="11"/>
        </w:numPr>
      </w:pPr>
      <w:r w:rsidRPr="00302141">
        <w:rPr>
          <w:rStyle w:val="Heading1Char"/>
        </w:rPr>
        <w:t>Step 3.</w:t>
      </w:r>
      <w:r>
        <w:t xml:space="preserve"> IMH will review the patient or the Responsible Party’s outstanding accounts at IMH and payment history.</w:t>
      </w:r>
    </w:p>
    <w:p w14:paraId="4C30821E" w14:textId="77777777" w:rsidR="00A7515C" w:rsidRDefault="00A7515C" w:rsidP="00A7515C">
      <w:pPr>
        <w:pStyle w:val="ListParagraph"/>
        <w:numPr>
          <w:ilvl w:val="1"/>
          <w:numId w:val="11"/>
        </w:numPr>
      </w:pPr>
      <w:r w:rsidRPr="00302141">
        <w:rPr>
          <w:rStyle w:val="Heading1Char"/>
        </w:rPr>
        <w:t>Step 4.</w:t>
      </w:r>
      <w:r>
        <w:t xml:space="preserve"> All completed applications will be reviewed by IMH’s Financial Counselor, the PFS or Revenue Cycle Director and the CFO for final approval/denial. Requests for Financial Assistance will be processed promptly.</w:t>
      </w:r>
    </w:p>
    <w:p w14:paraId="7BFCA0AC" w14:textId="77777777" w:rsidR="00A7515C" w:rsidRDefault="00A7515C" w:rsidP="00A7515C">
      <w:pPr>
        <w:pStyle w:val="ListParagraph"/>
        <w:numPr>
          <w:ilvl w:val="1"/>
          <w:numId w:val="10"/>
        </w:numPr>
      </w:pPr>
      <w:r w:rsidRPr="00302141">
        <w:rPr>
          <w:rStyle w:val="Heading1Char"/>
        </w:rPr>
        <w:t>Step 5.</w:t>
      </w:r>
      <w:r>
        <w:t xml:space="preserve"> IMH will notify the patient or applicant in writing within 30 days of receipt of a completed application.</w:t>
      </w:r>
    </w:p>
    <w:p w14:paraId="25ACD648" w14:textId="77777777" w:rsidR="00A7515C" w:rsidRDefault="00A7515C" w:rsidP="00A7515C">
      <w:pPr>
        <w:pStyle w:val="ListParagraph"/>
        <w:numPr>
          <w:ilvl w:val="1"/>
          <w:numId w:val="10"/>
        </w:numPr>
      </w:pPr>
      <w:r>
        <w:t>If a patient’s financial situation changes, they may submit a new financial application as long as they are within the application period.</w:t>
      </w:r>
    </w:p>
    <w:p w14:paraId="72A53BEE" w14:textId="77777777" w:rsidR="00A7515C" w:rsidRPr="00302141" w:rsidRDefault="00A7515C" w:rsidP="00A7515C">
      <w:pPr>
        <w:pStyle w:val="ListParagraph"/>
        <w:numPr>
          <w:ilvl w:val="0"/>
          <w:numId w:val="11"/>
        </w:numPr>
        <w:rPr>
          <w:rStyle w:val="Heading1Char"/>
        </w:rPr>
      </w:pPr>
      <w:r w:rsidRPr="00302141">
        <w:rPr>
          <w:rStyle w:val="Heading1Char"/>
        </w:rPr>
        <w:t>Eligibility Criteria for Patients</w:t>
      </w:r>
    </w:p>
    <w:p w14:paraId="47F90702" w14:textId="77777777" w:rsidR="00A7515C" w:rsidRDefault="00A7515C" w:rsidP="00A7515C">
      <w:pPr>
        <w:pStyle w:val="ListParagraph"/>
        <w:numPr>
          <w:ilvl w:val="1"/>
          <w:numId w:val="10"/>
        </w:numPr>
      </w:pPr>
      <w:r>
        <w:t>Eligibility for Financial Assistance will be considered for those persons who are who are unable to pay for Emergency Treatment or Medically Necessary Care, based upon a determination of financial need in accordance with this Policy. The granting of Financial Assistance is based on an individualized determination of financial need, and does not consider age, gender, race, social or immigrant status, sexual orientation or religious affiliation.</w:t>
      </w:r>
    </w:p>
    <w:p w14:paraId="378EA0C8" w14:textId="77777777" w:rsidR="00A7515C" w:rsidRPr="00091B1B" w:rsidRDefault="00A7515C" w:rsidP="00A7515C">
      <w:pPr>
        <w:pStyle w:val="ListParagraph"/>
        <w:numPr>
          <w:ilvl w:val="1"/>
          <w:numId w:val="10"/>
        </w:numPr>
      </w:pPr>
      <w:r w:rsidRPr="00F336DD">
        <w:t>Accounts with final outstanding balances of at least $1,500.00.</w:t>
      </w:r>
      <w:r>
        <w:t xml:space="preserve"> </w:t>
      </w:r>
      <w:r w:rsidRPr="00E16ABC">
        <w:t>Individuals who are active with Lar</w:t>
      </w:r>
      <w:r w:rsidRPr="00091B1B">
        <w:t>amie Downtown Clinic with an outstanding balance of at least $500.00.</w:t>
      </w:r>
    </w:p>
    <w:p w14:paraId="75BAF650" w14:textId="77777777" w:rsidR="00A7515C" w:rsidRDefault="00A7515C" w:rsidP="00A7515C">
      <w:pPr>
        <w:pStyle w:val="ListParagraph"/>
        <w:numPr>
          <w:ilvl w:val="1"/>
          <w:numId w:val="10"/>
        </w:numPr>
      </w:pPr>
      <w:r>
        <w:t>Patient must be an established resident in the Service Area; non-county residents will be considered on a case-by-case basis.</w:t>
      </w:r>
    </w:p>
    <w:p w14:paraId="20885D37" w14:textId="77777777" w:rsidR="00A7515C" w:rsidRDefault="00A7515C" w:rsidP="00A7515C">
      <w:pPr>
        <w:pStyle w:val="ListParagraph"/>
        <w:numPr>
          <w:ilvl w:val="1"/>
          <w:numId w:val="10"/>
        </w:numPr>
      </w:pPr>
      <w:r>
        <w:t>A patient’s coinsurance, deductible and copays are not eligible for Financial Assistance.</w:t>
      </w:r>
    </w:p>
    <w:p w14:paraId="2A6CCE17" w14:textId="77777777" w:rsidR="00A7515C" w:rsidRPr="00302141" w:rsidRDefault="00A7515C" w:rsidP="00A7515C">
      <w:pPr>
        <w:pStyle w:val="ListParagraph"/>
        <w:numPr>
          <w:ilvl w:val="0"/>
          <w:numId w:val="10"/>
        </w:numPr>
        <w:rPr>
          <w:rStyle w:val="Heading1Char"/>
        </w:rPr>
      </w:pPr>
      <w:r w:rsidRPr="00302141">
        <w:rPr>
          <w:rStyle w:val="Heading1Char"/>
        </w:rPr>
        <w:t>Students</w:t>
      </w:r>
    </w:p>
    <w:p w14:paraId="2B2B0A4B" w14:textId="77777777" w:rsidR="00A7515C" w:rsidRDefault="00A7515C" w:rsidP="00A7515C">
      <w:pPr>
        <w:pStyle w:val="ListParagraph"/>
        <w:numPr>
          <w:ilvl w:val="1"/>
          <w:numId w:val="10"/>
        </w:numPr>
      </w:pPr>
      <w:r>
        <w:t>Students are not eligible for Financial Assistance set forth in this Policy. Instead, Students may apply for an interest-free, $50 per month payment plan for four years or until they graduate, whichever occurs first. If a patient’s spouse or significant other is a student, the patient is only eligible for the student payment plan as described in this section.</w:t>
      </w:r>
    </w:p>
    <w:p w14:paraId="2D36B318" w14:textId="77777777" w:rsidR="00A7515C" w:rsidRDefault="00A7515C" w:rsidP="00A7515C">
      <w:pPr>
        <w:pStyle w:val="ListParagraph"/>
        <w:numPr>
          <w:ilvl w:val="1"/>
          <w:numId w:val="11"/>
        </w:numPr>
      </w:pPr>
      <w:r>
        <w:t>The patient will be required to provide verification of current enrollment from the institution before a student payment plan will be initiated and verification for each semester thereafter.</w:t>
      </w:r>
    </w:p>
    <w:p w14:paraId="26815D03" w14:textId="77777777" w:rsidR="00A7515C" w:rsidRDefault="00A7515C" w:rsidP="00A7515C">
      <w:pPr>
        <w:pStyle w:val="ListParagraph"/>
        <w:numPr>
          <w:ilvl w:val="1"/>
          <w:numId w:val="11"/>
        </w:numPr>
      </w:pPr>
      <w:r>
        <w:t>Each semester, letters will be sent to patients who have failed to provide verification of their enrollment. These patients will be given a three week period to return required documentation. If not received by the end of that three-week period, the student payment plan becomes void, and the patient is responsible for the full balance due.</w:t>
      </w:r>
    </w:p>
    <w:p w14:paraId="4BDA05E5" w14:textId="77777777" w:rsidR="00A7515C" w:rsidRDefault="00A7515C" w:rsidP="00A7515C">
      <w:pPr>
        <w:pStyle w:val="ListParagraph"/>
        <w:numPr>
          <w:ilvl w:val="1"/>
          <w:numId w:val="11"/>
        </w:numPr>
      </w:pPr>
      <w:r>
        <w:lastRenderedPageBreak/>
        <w:t>The student repayment plan remains in effect for three months following graduation. At that time the patient is responsible for payment in full, setting up a standard payment plan or applying for Financial Assistance.</w:t>
      </w:r>
    </w:p>
    <w:p w14:paraId="0620F8D0" w14:textId="77777777" w:rsidR="00A7515C" w:rsidRPr="00302141" w:rsidRDefault="00A7515C" w:rsidP="00A7515C">
      <w:pPr>
        <w:pStyle w:val="ListParagraph"/>
        <w:numPr>
          <w:ilvl w:val="0"/>
          <w:numId w:val="11"/>
        </w:numPr>
        <w:rPr>
          <w:rStyle w:val="Heading1Char"/>
        </w:rPr>
      </w:pPr>
      <w:r w:rsidRPr="00302141">
        <w:rPr>
          <w:rStyle w:val="Heading1Char"/>
        </w:rPr>
        <w:t>Communication of the Financial Assistance Program to Patients and Within the Community</w:t>
      </w:r>
    </w:p>
    <w:p w14:paraId="39F5F624" w14:textId="77777777" w:rsidR="00A7515C" w:rsidRDefault="00A7515C" w:rsidP="00A7515C">
      <w:pPr>
        <w:pStyle w:val="ListParagraph"/>
        <w:numPr>
          <w:ilvl w:val="1"/>
          <w:numId w:val="11"/>
        </w:numPr>
      </w:pPr>
      <w:r>
        <w:t>Financial Assistance available from IMH is communicated via notices in patient bills; on the IMH Consent form; in admitting locations and waiting rooms; in the IMH Business Office; and other public places as IMH may elect IMH publishes a summary of this Policy on the Ivinson website www.ivinsonhospital.org, in brochures available in patient access sites, and at other places within the community served by IMH as IMH may elect. Such notices and summary information is provided in the primary languages spoken by the population serviced by IMH.</w:t>
      </w:r>
    </w:p>
    <w:p w14:paraId="2BF08DDC" w14:textId="77777777" w:rsidR="00A7515C" w:rsidRDefault="00A7515C" w:rsidP="00A7515C">
      <w:pPr>
        <w:pStyle w:val="ListParagraph"/>
        <w:numPr>
          <w:ilvl w:val="1"/>
          <w:numId w:val="11"/>
        </w:numPr>
      </w:pPr>
      <w:r>
        <w:t>Referral of patients for Financial Assistance may be made by any member of the IMH staff or medical staff. A request for Financial Assistance may be made by the patient or a family member, close friend, or associate of the patient, subject to applicable privacy laws.</w:t>
      </w:r>
    </w:p>
    <w:p w14:paraId="467EEF0A" w14:textId="77777777" w:rsidR="00A7515C" w:rsidRPr="00302141" w:rsidRDefault="00A7515C" w:rsidP="00A7515C">
      <w:pPr>
        <w:pStyle w:val="ListParagraph"/>
        <w:numPr>
          <w:ilvl w:val="0"/>
          <w:numId w:val="11"/>
        </w:numPr>
        <w:rPr>
          <w:rStyle w:val="Heading1Char"/>
        </w:rPr>
      </w:pPr>
      <w:r w:rsidRPr="00302141">
        <w:rPr>
          <w:rStyle w:val="Heading1Char"/>
        </w:rPr>
        <w:t>Relationship to Collection Policies</w:t>
      </w:r>
    </w:p>
    <w:p w14:paraId="0EA51C5E" w14:textId="77777777" w:rsidR="00A7515C" w:rsidRDefault="00A7515C" w:rsidP="00A7515C">
      <w:pPr>
        <w:pStyle w:val="ListParagraph"/>
        <w:numPr>
          <w:ilvl w:val="1"/>
          <w:numId w:val="11"/>
        </w:numPr>
      </w:pPr>
      <w:r>
        <w:t>IMH maintains policies and procedures for internal and external collection practices (including actions IMH may take in the event of non-payment, including collections action and reporting to credit agencies) that consider the extent to which the patient qualifies for Financial Assistance, a patient’s good faith effort to apply for a governmental program or for Financial Assistance from IMH, and a patient’s good faith effort to comply with his or her payment agreements with IMH.</w:t>
      </w:r>
    </w:p>
    <w:p w14:paraId="6F3DEB6E" w14:textId="77777777" w:rsidR="00A7515C" w:rsidRDefault="00A7515C" w:rsidP="00A7515C">
      <w:pPr>
        <w:pStyle w:val="ListParagraph"/>
        <w:numPr>
          <w:ilvl w:val="1"/>
          <w:numId w:val="11"/>
        </w:numPr>
      </w:pPr>
      <w:r>
        <w:t>IMH will not impose extraordinary collections actions such as wage garnishments; liens on primary residences, or other legal actions for any patient without first making reasonable efforts to determine whether that patient is eligible for Financial Assistance under this Policy. Reasonable efforts include:</w:t>
      </w:r>
    </w:p>
    <w:p w14:paraId="357DDE63" w14:textId="77777777" w:rsidR="00A7515C" w:rsidRDefault="00A7515C" w:rsidP="00A7515C">
      <w:pPr>
        <w:pStyle w:val="ListParagraph"/>
        <w:numPr>
          <w:ilvl w:val="2"/>
          <w:numId w:val="11"/>
        </w:numPr>
      </w:pPr>
      <w:r>
        <w:t>Validating that the patient owes the unpaid bills and that all sources of third-party payment have been identified and billed by IMH;</w:t>
      </w:r>
    </w:p>
    <w:p w14:paraId="38C94685" w14:textId="77777777" w:rsidR="00A7515C" w:rsidRDefault="00A7515C" w:rsidP="00A7515C">
      <w:pPr>
        <w:pStyle w:val="ListParagraph"/>
        <w:numPr>
          <w:ilvl w:val="2"/>
          <w:numId w:val="11"/>
        </w:numPr>
      </w:pPr>
      <w:r>
        <w:t>Documentation that IMH has or has attempted to offer the patient the opportunity to apply for Financial Assistance pursuant to this Policy and that the patient has not complied with IMH’s application requirements;</w:t>
      </w:r>
    </w:p>
    <w:p w14:paraId="1CA32BE5" w14:textId="77777777" w:rsidR="00A7515C" w:rsidRDefault="00A7515C" w:rsidP="00A7515C">
      <w:pPr>
        <w:pStyle w:val="ListParagraph"/>
        <w:numPr>
          <w:ilvl w:val="2"/>
          <w:numId w:val="11"/>
        </w:numPr>
      </w:pPr>
      <w:r>
        <w:t>Verification that the patient does not qualify for Financial Assistance on a presumptive basis.</w:t>
      </w:r>
    </w:p>
    <w:p w14:paraId="3AD79FEC" w14:textId="77777777" w:rsidR="00A7515C" w:rsidRDefault="00A7515C" w:rsidP="00A7515C">
      <w:pPr>
        <w:pStyle w:val="ListParagraph"/>
        <w:numPr>
          <w:ilvl w:val="1"/>
          <w:numId w:val="11"/>
        </w:numPr>
      </w:pPr>
      <w:r>
        <w:t xml:space="preserve">The CFO or Revenue Cycle Director will determine whether a reasonable effort has been made and approve the initiation of extraordinary collections actions.  These actions will not occur until an account is in bad debt status for more than 120 days. </w:t>
      </w:r>
    </w:p>
    <w:p w14:paraId="68910211" w14:textId="500057F2" w:rsidR="00B12BFF" w:rsidRPr="00A7515C" w:rsidRDefault="00A7515C" w:rsidP="00A7515C">
      <w:pPr>
        <w:pStyle w:val="ListParagraph"/>
        <w:numPr>
          <w:ilvl w:val="0"/>
          <w:numId w:val="11"/>
        </w:numPr>
        <w:rPr>
          <w:b/>
        </w:rPr>
      </w:pPr>
      <w:r w:rsidRPr="00302141">
        <w:rPr>
          <w:rStyle w:val="Heading1Char"/>
        </w:rPr>
        <w:t>Regulatory Requirements:</w:t>
      </w:r>
      <w:r>
        <w:t xml:space="preserve"> IMH will review this Policy at least annually.</w:t>
      </w:r>
    </w:p>
    <w:p w14:paraId="1E093DB0" w14:textId="77777777" w:rsidR="00F326DC" w:rsidRDefault="00F326DC" w:rsidP="00F326DC">
      <w:r w:rsidRPr="00F326DC">
        <w:rPr>
          <w:b/>
          <w:bCs/>
        </w:rPr>
        <w:t>SANCTIONS:</w:t>
      </w:r>
      <w:r>
        <w:t xml:space="preserve"> Violations of Ivinson Memorial Hospital policies or procedures </w:t>
      </w:r>
      <w:r w:rsidR="00042E80">
        <w:t>are</w:t>
      </w:r>
      <w:r>
        <w:t xml:space="preserve"> reviewed on a case</w:t>
      </w:r>
      <w:r w:rsidR="00CE388B">
        <w:t>-</w:t>
      </w:r>
      <w:r>
        <w:t>by</w:t>
      </w:r>
      <w:r w:rsidR="00CE388B">
        <w:t>-</w:t>
      </w:r>
      <w:r>
        <w:t>case basis and may be met with disciplinary action up to and including termination.</w:t>
      </w:r>
    </w:p>
    <w:p w14:paraId="639057E9" w14:textId="77777777" w:rsidR="003F0BC7" w:rsidRDefault="00CE388B" w:rsidP="003F0BC7">
      <w:r w:rsidRPr="00F326DC">
        <w:rPr>
          <w:b/>
          <w:bCs/>
        </w:rPr>
        <w:t>ATTACHMENTS:</w:t>
      </w:r>
    </w:p>
    <w:p w14:paraId="338970B8" w14:textId="3239A5F4" w:rsidR="00CE388B" w:rsidRDefault="00A7515C" w:rsidP="003F0BC7">
      <w:pPr>
        <w:pStyle w:val="ListParagraph"/>
        <w:numPr>
          <w:ilvl w:val="0"/>
          <w:numId w:val="1"/>
        </w:numPr>
      </w:pPr>
      <w:r w:rsidRPr="00A7515C">
        <w:lastRenderedPageBreak/>
        <w:t>Appendix A: Hospital Provider List</w:t>
      </w:r>
    </w:p>
    <w:p w14:paraId="3AB60BF9" w14:textId="77777777" w:rsidR="00F326DC" w:rsidRPr="00F326DC" w:rsidRDefault="00F326DC" w:rsidP="00F326DC">
      <w:pPr>
        <w:rPr>
          <w:b/>
          <w:bCs/>
        </w:rPr>
      </w:pPr>
      <w:r w:rsidRPr="00F326DC">
        <w:rPr>
          <w:b/>
          <w:bCs/>
        </w:rPr>
        <w:t>RELATED POLICIES:</w:t>
      </w:r>
    </w:p>
    <w:p w14:paraId="74F63415" w14:textId="776E847B" w:rsidR="00F326DC" w:rsidRDefault="00A7515C" w:rsidP="00F326DC">
      <w:pPr>
        <w:pStyle w:val="ListParagraph"/>
        <w:numPr>
          <w:ilvl w:val="0"/>
          <w:numId w:val="3"/>
        </w:numPr>
      </w:pPr>
      <w:r w:rsidRPr="00A7515C">
        <w:t>HW105 EMTALA</w:t>
      </w:r>
    </w:p>
    <w:p w14:paraId="243907A9" w14:textId="77777777" w:rsidR="00F326DC" w:rsidRPr="00F326DC" w:rsidRDefault="00F326DC" w:rsidP="00F326DC">
      <w:pPr>
        <w:rPr>
          <w:b/>
          <w:bCs/>
        </w:rPr>
      </w:pPr>
      <w:r w:rsidRPr="00F326DC">
        <w:rPr>
          <w:b/>
          <w:bCs/>
        </w:rPr>
        <w:t>REFERENCES:</w:t>
      </w:r>
    </w:p>
    <w:p w14:paraId="3AE7A5F4" w14:textId="01C80622" w:rsidR="00F326DC" w:rsidRDefault="00A7515C" w:rsidP="00F326DC">
      <w:pPr>
        <w:pStyle w:val="ListParagraph"/>
        <w:numPr>
          <w:ilvl w:val="0"/>
          <w:numId w:val="4"/>
        </w:numPr>
      </w:pPr>
      <w:r w:rsidRPr="00A7515C">
        <w:t>Federal Poverty Guidelines: http://aspe.hhs.gov/poverty/14poverty.cfm</w:t>
      </w:r>
    </w:p>
    <w:p w14:paraId="63D64706" w14:textId="77777777" w:rsidR="00F326DC" w:rsidRDefault="00F326DC" w:rsidP="00F326DC"/>
    <w:tbl>
      <w:tblPr>
        <w:tblStyle w:val="TableGrid"/>
        <w:tblW w:w="0" w:type="auto"/>
        <w:tblLook w:val="04A0" w:firstRow="1" w:lastRow="0" w:firstColumn="1" w:lastColumn="0" w:noHBand="0" w:noVBand="1"/>
      </w:tblPr>
      <w:tblGrid>
        <w:gridCol w:w="10070"/>
      </w:tblGrid>
      <w:tr w:rsidR="00F326DC" w14:paraId="095A434D" w14:textId="77777777" w:rsidTr="00F326DC">
        <w:tc>
          <w:tcPr>
            <w:tcW w:w="10070" w:type="dxa"/>
          </w:tcPr>
          <w:p w14:paraId="2E6F92AA" w14:textId="77777777" w:rsidR="00F326DC" w:rsidRPr="00F326DC" w:rsidRDefault="00F326DC" w:rsidP="00F326DC">
            <w:pPr>
              <w:spacing w:before="120" w:after="120"/>
            </w:pPr>
            <w:r w:rsidRPr="00F326DC">
              <w:t>This policy is intended as a guideline to assist in the consistent application of Ivinson Memorial Hospital policies and programs for employees. The policy does not create a contract implied or expressed, with any hospital employees who are employees at will. The hospital reserves the right to modify this policy in whole or in part, at any time, at its sole discretion.</w:t>
            </w:r>
          </w:p>
        </w:tc>
      </w:tr>
    </w:tbl>
    <w:p w14:paraId="66D495A5" w14:textId="19230195" w:rsidR="00F326DC" w:rsidRDefault="00F326DC" w:rsidP="00F326DC"/>
    <w:p w14:paraId="6F007264" w14:textId="77777777" w:rsidR="00A7515C" w:rsidRDefault="00A7515C" w:rsidP="00F326DC"/>
    <w:p w14:paraId="2B5248FC" w14:textId="77777777" w:rsidR="00A7515C" w:rsidRDefault="00A7515C" w:rsidP="00A7515C">
      <w:pPr>
        <w:jc w:val="center"/>
        <w:rPr>
          <w:rFonts w:eastAsia="Calibri" w:cs="Arial"/>
          <w:b/>
        </w:rPr>
      </w:pPr>
      <w:r>
        <w:rPr>
          <w:rFonts w:eastAsia="Calibri" w:cs="Arial"/>
          <w:b/>
        </w:rPr>
        <w:t>Appendix A: Hospital Provider List</w:t>
      </w:r>
    </w:p>
    <w:p w14:paraId="0EC6B774" w14:textId="77777777" w:rsidR="00A7515C" w:rsidRDefault="00A7515C" w:rsidP="00A7515C">
      <w:pPr>
        <w:jc w:val="left"/>
        <w:rPr>
          <w:rFonts w:eastAsia="Calibri" w:cs="Arial"/>
        </w:rPr>
      </w:pPr>
      <w:r w:rsidRPr="00A17896">
        <w:rPr>
          <w:rFonts w:eastAsia="Calibri" w:cs="Arial"/>
        </w:rPr>
        <w:t xml:space="preserve">The following list contains Hospital Providers, by Department or Group, that provide Medically Necessary services with Ivinson Memorial </w:t>
      </w:r>
      <w:r w:rsidRPr="00435EB4">
        <w:rPr>
          <w:rFonts w:eastAsia="Calibri" w:cs="Arial"/>
        </w:rPr>
        <w:t>Hospital</w:t>
      </w:r>
      <w:r w:rsidRPr="00A17896">
        <w:rPr>
          <w:rFonts w:eastAsia="Calibri" w:cs="Arial"/>
        </w:rPr>
        <w:t xml:space="preserve"> and which of those Hospital Providers are covered by this Policy.</w:t>
      </w:r>
    </w:p>
    <w:p w14:paraId="787890B0" w14:textId="77777777" w:rsidR="00A7515C" w:rsidRDefault="00A7515C" w:rsidP="00A7515C">
      <w:pPr>
        <w:jc w:val="left"/>
        <w:rPr>
          <w:rFonts w:eastAsia="Calibri" w:cs="Arial"/>
        </w:rPr>
      </w:pPr>
    </w:p>
    <w:tbl>
      <w:tblPr>
        <w:tblW w:w="7154" w:type="dxa"/>
        <w:jc w:val="center"/>
        <w:tblLook w:val="04A0" w:firstRow="1" w:lastRow="0" w:firstColumn="1" w:lastColumn="0" w:noHBand="0" w:noVBand="1"/>
      </w:tblPr>
      <w:tblGrid>
        <w:gridCol w:w="4120"/>
        <w:gridCol w:w="1177"/>
        <w:gridCol w:w="1857"/>
      </w:tblGrid>
      <w:tr w:rsidR="00A7515C" w:rsidRPr="00DE284B" w14:paraId="249932F4" w14:textId="77777777" w:rsidTr="00B6748E">
        <w:trPr>
          <w:trHeight w:val="300"/>
          <w:jc w:val="center"/>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AEF1" w14:textId="77777777" w:rsidR="00A7515C" w:rsidRPr="00A17896" w:rsidRDefault="00A7515C" w:rsidP="00B6748E">
            <w:pPr>
              <w:spacing w:after="0"/>
              <w:jc w:val="left"/>
              <w:rPr>
                <w:rFonts w:cs="Arial"/>
                <w:b/>
                <w:color w:val="000000"/>
              </w:rPr>
            </w:pPr>
            <w:r w:rsidRPr="00A17896">
              <w:rPr>
                <w:rFonts w:cs="Arial"/>
                <w:b/>
                <w:color w:val="000000"/>
              </w:rPr>
              <w:t>Department or Group</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596B28E5" w14:textId="77777777" w:rsidR="00A7515C" w:rsidRPr="00A17896" w:rsidRDefault="00A7515C" w:rsidP="00B6748E">
            <w:pPr>
              <w:spacing w:after="0"/>
              <w:jc w:val="left"/>
              <w:rPr>
                <w:rFonts w:cs="Arial"/>
                <w:b/>
                <w:color w:val="000000"/>
              </w:rPr>
            </w:pPr>
            <w:r w:rsidRPr="00A17896">
              <w:rPr>
                <w:rFonts w:cs="Arial"/>
                <w:b/>
                <w:color w:val="000000"/>
              </w:rPr>
              <w:t>Covered</w:t>
            </w:r>
          </w:p>
        </w:tc>
        <w:tc>
          <w:tcPr>
            <w:tcW w:w="1857" w:type="dxa"/>
            <w:tcBorders>
              <w:top w:val="single" w:sz="4" w:space="0" w:color="auto"/>
              <w:left w:val="nil"/>
              <w:bottom w:val="single" w:sz="4" w:space="0" w:color="auto"/>
              <w:right w:val="single" w:sz="4" w:space="0" w:color="auto"/>
            </w:tcBorders>
            <w:shd w:val="clear" w:color="auto" w:fill="auto"/>
            <w:noWrap/>
            <w:vAlign w:val="bottom"/>
            <w:hideMark/>
          </w:tcPr>
          <w:p w14:paraId="7F0CAEC2" w14:textId="77777777" w:rsidR="00A7515C" w:rsidRPr="00A17896" w:rsidRDefault="00A7515C" w:rsidP="00B6748E">
            <w:pPr>
              <w:spacing w:after="0"/>
              <w:jc w:val="left"/>
              <w:rPr>
                <w:rFonts w:cs="Arial"/>
                <w:b/>
                <w:color w:val="000000"/>
              </w:rPr>
            </w:pPr>
            <w:r w:rsidRPr="00A17896">
              <w:rPr>
                <w:rFonts w:cs="Arial"/>
                <w:b/>
                <w:color w:val="000000"/>
              </w:rPr>
              <w:t>Non-Covered</w:t>
            </w:r>
          </w:p>
        </w:tc>
      </w:tr>
      <w:tr w:rsidR="00A7515C" w:rsidRPr="00DE284B" w14:paraId="6B8EFE05"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4447277" w14:textId="77777777" w:rsidR="00A7515C" w:rsidRPr="00A17896" w:rsidRDefault="00A7515C" w:rsidP="00B6748E">
            <w:pPr>
              <w:spacing w:after="0"/>
              <w:jc w:val="left"/>
              <w:rPr>
                <w:rFonts w:cs="Arial"/>
                <w:color w:val="000000"/>
              </w:rPr>
            </w:pPr>
            <w:r w:rsidRPr="00A17896">
              <w:rPr>
                <w:rFonts w:cs="Arial"/>
                <w:color w:val="000000"/>
              </w:rPr>
              <w:t>Ivinson Memorial Hospital- Hospitalists</w:t>
            </w:r>
          </w:p>
        </w:tc>
        <w:tc>
          <w:tcPr>
            <w:tcW w:w="1177" w:type="dxa"/>
            <w:tcBorders>
              <w:top w:val="nil"/>
              <w:left w:val="nil"/>
              <w:bottom w:val="single" w:sz="4" w:space="0" w:color="auto"/>
              <w:right w:val="single" w:sz="4" w:space="0" w:color="auto"/>
            </w:tcBorders>
            <w:shd w:val="clear" w:color="auto" w:fill="auto"/>
            <w:noWrap/>
            <w:vAlign w:val="bottom"/>
            <w:hideMark/>
          </w:tcPr>
          <w:p w14:paraId="70E7FF11" w14:textId="77777777" w:rsidR="00A7515C" w:rsidRPr="00A17896" w:rsidRDefault="00A7515C" w:rsidP="00B6748E">
            <w:pPr>
              <w:spacing w:after="0"/>
              <w:jc w:val="center"/>
              <w:rPr>
                <w:rFonts w:cs="Arial"/>
                <w:color w:val="000000"/>
              </w:rPr>
            </w:pPr>
            <w:r w:rsidRPr="00A17896">
              <w:rPr>
                <w:rFonts w:cs="Arial"/>
                <w:color w:val="000000"/>
              </w:rPr>
              <w:t>X</w:t>
            </w:r>
          </w:p>
        </w:tc>
        <w:tc>
          <w:tcPr>
            <w:tcW w:w="1857" w:type="dxa"/>
            <w:tcBorders>
              <w:top w:val="nil"/>
              <w:left w:val="nil"/>
              <w:bottom w:val="single" w:sz="4" w:space="0" w:color="auto"/>
              <w:right w:val="single" w:sz="4" w:space="0" w:color="auto"/>
            </w:tcBorders>
            <w:shd w:val="clear" w:color="auto" w:fill="auto"/>
            <w:noWrap/>
            <w:vAlign w:val="bottom"/>
            <w:hideMark/>
          </w:tcPr>
          <w:p w14:paraId="0F312617" w14:textId="77777777" w:rsidR="00A7515C" w:rsidRPr="00A17896" w:rsidRDefault="00A7515C" w:rsidP="00B6748E">
            <w:pPr>
              <w:spacing w:after="0"/>
              <w:jc w:val="center"/>
              <w:rPr>
                <w:rFonts w:cs="Arial"/>
                <w:color w:val="000000"/>
              </w:rPr>
            </w:pPr>
          </w:p>
        </w:tc>
      </w:tr>
      <w:tr w:rsidR="00A7515C" w:rsidRPr="00DE284B" w14:paraId="334350B5"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7B3F276" w14:textId="77777777" w:rsidR="00A7515C" w:rsidRPr="00A17896" w:rsidRDefault="00A7515C" w:rsidP="00B6748E">
            <w:pPr>
              <w:spacing w:after="0"/>
              <w:jc w:val="left"/>
              <w:rPr>
                <w:rFonts w:cs="Arial"/>
                <w:color w:val="000000"/>
              </w:rPr>
            </w:pPr>
            <w:r w:rsidRPr="00A17896">
              <w:rPr>
                <w:rFonts w:cs="Arial"/>
                <w:color w:val="000000"/>
              </w:rPr>
              <w:t>Ivinson Memorial Hospital- Medical Group</w:t>
            </w:r>
          </w:p>
        </w:tc>
        <w:tc>
          <w:tcPr>
            <w:tcW w:w="1177" w:type="dxa"/>
            <w:tcBorders>
              <w:top w:val="nil"/>
              <w:left w:val="nil"/>
              <w:bottom w:val="single" w:sz="4" w:space="0" w:color="auto"/>
              <w:right w:val="single" w:sz="4" w:space="0" w:color="auto"/>
            </w:tcBorders>
            <w:shd w:val="clear" w:color="auto" w:fill="auto"/>
            <w:noWrap/>
            <w:vAlign w:val="bottom"/>
            <w:hideMark/>
          </w:tcPr>
          <w:p w14:paraId="7D698164" w14:textId="77777777" w:rsidR="00A7515C" w:rsidRPr="00A17896" w:rsidRDefault="00A7515C" w:rsidP="00B6748E">
            <w:pPr>
              <w:spacing w:after="0"/>
              <w:jc w:val="center"/>
              <w:rPr>
                <w:rFonts w:cs="Arial"/>
                <w:color w:val="000000"/>
              </w:rPr>
            </w:pPr>
            <w:r w:rsidRPr="00A17896">
              <w:rPr>
                <w:rFonts w:cs="Arial"/>
                <w:color w:val="000000"/>
              </w:rPr>
              <w:t>X</w:t>
            </w:r>
          </w:p>
        </w:tc>
        <w:tc>
          <w:tcPr>
            <w:tcW w:w="1857" w:type="dxa"/>
            <w:tcBorders>
              <w:top w:val="nil"/>
              <w:left w:val="nil"/>
              <w:bottom w:val="single" w:sz="4" w:space="0" w:color="auto"/>
              <w:right w:val="single" w:sz="4" w:space="0" w:color="auto"/>
            </w:tcBorders>
            <w:shd w:val="clear" w:color="auto" w:fill="auto"/>
            <w:noWrap/>
            <w:vAlign w:val="bottom"/>
            <w:hideMark/>
          </w:tcPr>
          <w:p w14:paraId="5395C214" w14:textId="77777777" w:rsidR="00A7515C" w:rsidRPr="00A17896" w:rsidRDefault="00A7515C" w:rsidP="00B6748E">
            <w:pPr>
              <w:spacing w:after="0"/>
              <w:jc w:val="center"/>
              <w:rPr>
                <w:rFonts w:cs="Arial"/>
                <w:color w:val="000000"/>
              </w:rPr>
            </w:pPr>
          </w:p>
        </w:tc>
      </w:tr>
      <w:tr w:rsidR="00A7515C" w:rsidRPr="00DE284B" w14:paraId="358018EF"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87C089F" w14:textId="77777777" w:rsidR="00A7515C" w:rsidRPr="00A17896" w:rsidRDefault="00A7515C" w:rsidP="00B6748E">
            <w:pPr>
              <w:spacing w:after="0"/>
              <w:jc w:val="left"/>
              <w:rPr>
                <w:rFonts w:cs="Arial"/>
                <w:color w:val="000000"/>
              </w:rPr>
            </w:pPr>
            <w:r w:rsidRPr="00A17896">
              <w:rPr>
                <w:rFonts w:cs="Arial"/>
                <w:color w:val="000000"/>
              </w:rPr>
              <w:t>Non-Ivinson Employed Specialists</w:t>
            </w:r>
          </w:p>
        </w:tc>
        <w:tc>
          <w:tcPr>
            <w:tcW w:w="1177" w:type="dxa"/>
            <w:tcBorders>
              <w:top w:val="nil"/>
              <w:left w:val="nil"/>
              <w:bottom w:val="single" w:sz="4" w:space="0" w:color="auto"/>
              <w:right w:val="single" w:sz="4" w:space="0" w:color="auto"/>
            </w:tcBorders>
            <w:shd w:val="clear" w:color="auto" w:fill="auto"/>
            <w:noWrap/>
            <w:vAlign w:val="bottom"/>
            <w:hideMark/>
          </w:tcPr>
          <w:p w14:paraId="09637F93"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4921ECA4"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174716E1"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E495BFF" w14:textId="77777777" w:rsidR="00A7515C" w:rsidRPr="00A17896" w:rsidRDefault="00A7515C" w:rsidP="00B6748E">
            <w:pPr>
              <w:spacing w:after="0"/>
              <w:jc w:val="left"/>
              <w:rPr>
                <w:rFonts w:cs="Arial"/>
                <w:color w:val="000000"/>
              </w:rPr>
            </w:pPr>
            <w:r w:rsidRPr="00A17896">
              <w:rPr>
                <w:rFonts w:cs="Arial"/>
                <w:color w:val="000000"/>
              </w:rPr>
              <w:t>UCHealth Employed Providers</w:t>
            </w:r>
          </w:p>
        </w:tc>
        <w:tc>
          <w:tcPr>
            <w:tcW w:w="1177" w:type="dxa"/>
            <w:tcBorders>
              <w:top w:val="nil"/>
              <w:left w:val="nil"/>
              <w:bottom w:val="single" w:sz="4" w:space="0" w:color="auto"/>
              <w:right w:val="single" w:sz="4" w:space="0" w:color="auto"/>
            </w:tcBorders>
            <w:shd w:val="clear" w:color="auto" w:fill="auto"/>
            <w:noWrap/>
            <w:vAlign w:val="bottom"/>
          </w:tcPr>
          <w:p w14:paraId="2F5B10F1"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53A5B615"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21F49D32"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D4561A6" w14:textId="77777777" w:rsidR="00A7515C" w:rsidRPr="00A17896" w:rsidRDefault="00A7515C" w:rsidP="00B6748E">
            <w:pPr>
              <w:spacing w:after="0"/>
              <w:jc w:val="left"/>
              <w:rPr>
                <w:rFonts w:cs="Arial"/>
                <w:color w:val="000000"/>
              </w:rPr>
            </w:pPr>
            <w:r w:rsidRPr="00A17896">
              <w:rPr>
                <w:rFonts w:cs="Arial"/>
                <w:color w:val="000000"/>
              </w:rPr>
              <w:t>Aligned Providers (ER Providers)</w:t>
            </w:r>
          </w:p>
        </w:tc>
        <w:tc>
          <w:tcPr>
            <w:tcW w:w="1177" w:type="dxa"/>
            <w:tcBorders>
              <w:top w:val="nil"/>
              <w:left w:val="nil"/>
              <w:bottom w:val="single" w:sz="4" w:space="0" w:color="auto"/>
              <w:right w:val="single" w:sz="4" w:space="0" w:color="auto"/>
            </w:tcBorders>
            <w:shd w:val="clear" w:color="auto" w:fill="auto"/>
            <w:noWrap/>
            <w:vAlign w:val="bottom"/>
          </w:tcPr>
          <w:p w14:paraId="09BFE1B8"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2142FD1A"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796A8EAE"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03F5D55" w14:textId="77777777" w:rsidR="00A7515C" w:rsidRPr="00A17896" w:rsidRDefault="00A7515C" w:rsidP="00B6748E">
            <w:pPr>
              <w:spacing w:after="0"/>
              <w:jc w:val="left"/>
              <w:rPr>
                <w:rFonts w:cs="Arial"/>
                <w:color w:val="000000"/>
              </w:rPr>
            </w:pPr>
            <w:r w:rsidRPr="00A17896">
              <w:rPr>
                <w:rFonts w:cs="Arial"/>
                <w:color w:val="000000"/>
              </w:rPr>
              <w:t>Northern Colorado Anesthesia Providers</w:t>
            </w:r>
          </w:p>
        </w:tc>
        <w:tc>
          <w:tcPr>
            <w:tcW w:w="1177" w:type="dxa"/>
            <w:tcBorders>
              <w:top w:val="nil"/>
              <w:left w:val="nil"/>
              <w:bottom w:val="single" w:sz="4" w:space="0" w:color="auto"/>
              <w:right w:val="single" w:sz="4" w:space="0" w:color="auto"/>
            </w:tcBorders>
            <w:shd w:val="clear" w:color="auto" w:fill="auto"/>
            <w:noWrap/>
            <w:vAlign w:val="bottom"/>
            <w:hideMark/>
          </w:tcPr>
          <w:p w14:paraId="59EC5B5F" w14:textId="77777777" w:rsidR="00A7515C" w:rsidRPr="00A17896" w:rsidRDefault="00A7515C" w:rsidP="00B6748E">
            <w:pPr>
              <w:spacing w:after="0"/>
              <w:jc w:val="center"/>
              <w:rPr>
                <w:rFonts w:cs="Arial"/>
                <w:color w:val="000000"/>
              </w:rPr>
            </w:pPr>
            <w:r w:rsidRPr="00A17896">
              <w:rPr>
                <w:rFonts w:cs="Arial"/>
                <w:color w:val="000000"/>
              </w:rPr>
              <w:t>X</w:t>
            </w:r>
          </w:p>
        </w:tc>
        <w:tc>
          <w:tcPr>
            <w:tcW w:w="1857" w:type="dxa"/>
            <w:tcBorders>
              <w:top w:val="nil"/>
              <w:left w:val="nil"/>
              <w:bottom w:val="single" w:sz="4" w:space="0" w:color="auto"/>
              <w:right w:val="single" w:sz="4" w:space="0" w:color="auto"/>
            </w:tcBorders>
            <w:shd w:val="clear" w:color="auto" w:fill="auto"/>
            <w:noWrap/>
            <w:vAlign w:val="bottom"/>
            <w:hideMark/>
          </w:tcPr>
          <w:p w14:paraId="5B7A2F04" w14:textId="77777777" w:rsidR="00A7515C" w:rsidRPr="00A17896" w:rsidRDefault="00A7515C" w:rsidP="00B6748E">
            <w:pPr>
              <w:spacing w:after="0"/>
              <w:jc w:val="center"/>
              <w:rPr>
                <w:rFonts w:cs="Arial"/>
                <w:color w:val="000000"/>
              </w:rPr>
            </w:pPr>
          </w:p>
        </w:tc>
      </w:tr>
      <w:tr w:rsidR="00A7515C" w:rsidRPr="00DE284B" w14:paraId="561F2C09"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7F0AE70" w14:textId="77777777" w:rsidR="00A7515C" w:rsidRPr="00A17896" w:rsidRDefault="00A7515C" w:rsidP="00B6748E">
            <w:pPr>
              <w:spacing w:after="0"/>
              <w:jc w:val="left"/>
              <w:rPr>
                <w:rFonts w:cs="Arial"/>
                <w:color w:val="000000"/>
              </w:rPr>
            </w:pPr>
            <w:r w:rsidRPr="00A17896">
              <w:rPr>
                <w:rFonts w:cs="Arial"/>
                <w:color w:val="000000"/>
              </w:rPr>
              <w:t>Advanced Medical Imaging Providers</w:t>
            </w:r>
          </w:p>
        </w:tc>
        <w:tc>
          <w:tcPr>
            <w:tcW w:w="1177" w:type="dxa"/>
            <w:tcBorders>
              <w:top w:val="nil"/>
              <w:left w:val="nil"/>
              <w:bottom w:val="single" w:sz="4" w:space="0" w:color="auto"/>
              <w:right w:val="single" w:sz="4" w:space="0" w:color="auto"/>
            </w:tcBorders>
            <w:shd w:val="clear" w:color="auto" w:fill="auto"/>
            <w:noWrap/>
            <w:vAlign w:val="bottom"/>
            <w:hideMark/>
          </w:tcPr>
          <w:p w14:paraId="3760B0AA"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13664985"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0F398B43"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04E9425E" w14:textId="77777777" w:rsidR="00A7515C" w:rsidRPr="00A17896" w:rsidRDefault="00A7515C" w:rsidP="00B6748E">
            <w:pPr>
              <w:spacing w:after="0"/>
              <w:jc w:val="left"/>
              <w:rPr>
                <w:rFonts w:cs="Arial"/>
                <w:color w:val="000000"/>
              </w:rPr>
            </w:pPr>
            <w:r w:rsidRPr="00A17896">
              <w:rPr>
                <w:rFonts w:cs="Arial"/>
                <w:color w:val="000000"/>
              </w:rPr>
              <w:t>Summit Pathology</w:t>
            </w:r>
          </w:p>
        </w:tc>
        <w:tc>
          <w:tcPr>
            <w:tcW w:w="1177" w:type="dxa"/>
            <w:tcBorders>
              <w:top w:val="nil"/>
              <w:left w:val="nil"/>
              <w:bottom w:val="single" w:sz="4" w:space="0" w:color="auto"/>
              <w:right w:val="single" w:sz="4" w:space="0" w:color="auto"/>
            </w:tcBorders>
            <w:shd w:val="clear" w:color="auto" w:fill="auto"/>
            <w:noWrap/>
            <w:vAlign w:val="bottom"/>
          </w:tcPr>
          <w:p w14:paraId="03A3D59C"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tcPr>
          <w:p w14:paraId="3F4683C2"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1B574818"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DA03E64" w14:textId="77777777" w:rsidR="00A7515C" w:rsidRPr="00A17896" w:rsidRDefault="00A7515C" w:rsidP="00B6748E">
            <w:pPr>
              <w:spacing w:after="0"/>
              <w:jc w:val="left"/>
              <w:rPr>
                <w:rFonts w:cs="Arial"/>
                <w:color w:val="000000"/>
              </w:rPr>
            </w:pPr>
            <w:r w:rsidRPr="00A17896">
              <w:rPr>
                <w:rFonts w:cs="Arial"/>
                <w:color w:val="000000"/>
              </w:rPr>
              <w:t>Ivinson Ground Transfer Ambulance</w:t>
            </w:r>
          </w:p>
        </w:tc>
        <w:tc>
          <w:tcPr>
            <w:tcW w:w="1177" w:type="dxa"/>
            <w:tcBorders>
              <w:top w:val="nil"/>
              <w:left w:val="nil"/>
              <w:bottom w:val="single" w:sz="4" w:space="0" w:color="auto"/>
              <w:right w:val="single" w:sz="4" w:space="0" w:color="auto"/>
            </w:tcBorders>
            <w:shd w:val="clear" w:color="auto" w:fill="auto"/>
            <w:noWrap/>
            <w:vAlign w:val="bottom"/>
            <w:hideMark/>
          </w:tcPr>
          <w:p w14:paraId="77864CE1" w14:textId="77777777" w:rsidR="00A7515C" w:rsidRPr="00A17896" w:rsidRDefault="00A7515C" w:rsidP="00B6748E">
            <w:pPr>
              <w:spacing w:after="0"/>
              <w:jc w:val="center"/>
              <w:rPr>
                <w:rFonts w:cs="Arial"/>
                <w:color w:val="000000"/>
              </w:rPr>
            </w:pPr>
            <w:r w:rsidRPr="00A17896">
              <w:rPr>
                <w:rFonts w:cs="Arial"/>
                <w:color w:val="000000"/>
              </w:rPr>
              <w:t>X</w:t>
            </w:r>
          </w:p>
        </w:tc>
        <w:tc>
          <w:tcPr>
            <w:tcW w:w="1857" w:type="dxa"/>
            <w:tcBorders>
              <w:top w:val="nil"/>
              <w:left w:val="nil"/>
              <w:bottom w:val="single" w:sz="4" w:space="0" w:color="auto"/>
              <w:right w:val="single" w:sz="4" w:space="0" w:color="auto"/>
            </w:tcBorders>
            <w:shd w:val="clear" w:color="auto" w:fill="auto"/>
            <w:noWrap/>
            <w:vAlign w:val="bottom"/>
            <w:hideMark/>
          </w:tcPr>
          <w:p w14:paraId="764049AC" w14:textId="77777777" w:rsidR="00A7515C" w:rsidRPr="00A17896" w:rsidRDefault="00A7515C" w:rsidP="00B6748E">
            <w:pPr>
              <w:spacing w:after="0"/>
              <w:jc w:val="center"/>
              <w:rPr>
                <w:rFonts w:cs="Arial"/>
                <w:color w:val="000000"/>
              </w:rPr>
            </w:pPr>
          </w:p>
        </w:tc>
      </w:tr>
      <w:tr w:rsidR="00A7515C" w:rsidRPr="00DE284B" w14:paraId="253697B2"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E7576E3" w14:textId="77777777" w:rsidR="00A7515C" w:rsidRPr="00A17896" w:rsidRDefault="00A7515C" w:rsidP="00B6748E">
            <w:pPr>
              <w:spacing w:after="0"/>
              <w:jc w:val="left"/>
              <w:rPr>
                <w:rFonts w:cs="Arial"/>
                <w:color w:val="000000"/>
              </w:rPr>
            </w:pPr>
            <w:r w:rsidRPr="00A17896">
              <w:rPr>
                <w:rFonts w:cs="Arial"/>
                <w:color w:val="000000"/>
              </w:rPr>
              <w:t>City Of Laramie Ambulance prior to 09/01/2025</w:t>
            </w:r>
          </w:p>
        </w:tc>
        <w:tc>
          <w:tcPr>
            <w:tcW w:w="1177" w:type="dxa"/>
            <w:tcBorders>
              <w:top w:val="nil"/>
              <w:left w:val="nil"/>
              <w:bottom w:val="single" w:sz="4" w:space="0" w:color="auto"/>
              <w:right w:val="single" w:sz="4" w:space="0" w:color="auto"/>
            </w:tcBorders>
            <w:shd w:val="clear" w:color="auto" w:fill="auto"/>
            <w:noWrap/>
            <w:vAlign w:val="bottom"/>
            <w:hideMark/>
          </w:tcPr>
          <w:p w14:paraId="7B5EEF2D" w14:textId="77777777" w:rsidR="00A7515C" w:rsidRPr="00A17896" w:rsidRDefault="00A7515C" w:rsidP="00B6748E">
            <w:pPr>
              <w:spacing w:after="0"/>
              <w:jc w:val="center"/>
              <w:rPr>
                <w:rFonts w:cs="Arial"/>
                <w:color w:val="000000"/>
              </w:rPr>
            </w:pPr>
            <w:r w:rsidRPr="00A17896">
              <w:rPr>
                <w:rFonts w:cs="Arial"/>
                <w:color w:val="000000"/>
              </w:rPr>
              <w:t>X</w:t>
            </w:r>
          </w:p>
        </w:tc>
        <w:tc>
          <w:tcPr>
            <w:tcW w:w="1857" w:type="dxa"/>
            <w:tcBorders>
              <w:top w:val="nil"/>
              <w:left w:val="nil"/>
              <w:bottom w:val="single" w:sz="4" w:space="0" w:color="auto"/>
              <w:right w:val="single" w:sz="4" w:space="0" w:color="auto"/>
            </w:tcBorders>
            <w:shd w:val="clear" w:color="auto" w:fill="auto"/>
            <w:noWrap/>
            <w:vAlign w:val="bottom"/>
            <w:hideMark/>
          </w:tcPr>
          <w:p w14:paraId="040A9659" w14:textId="77777777" w:rsidR="00A7515C" w:rsidRPr="00A17896" w:rsidRDefault="00A7515C" w:rsidP="00B6748E">
            <w:pPr>
              <w:spacing w:after="0"/>
              <w:jc w:val="center"/>
              <w:rPr>
                <w:rFonts w:cs="Arial"/>
                <w:color w:val="000000"/>
              </w:rPr>
            </w:pPr>
          </w:p>
        </w:tc>
      </w:tr>
      <w:tr w:rsidR="00A7515C" w:rsidRPr="00DE284B" w14:paraId="390FD1EC"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3A664674" w14:textId="77777777" w:rsidR="00A7515C" w:rsidRPr="00A17896" w:rsidRDefault="00A7515C" w:rsidP="00B6748E">
            <w:pPr>
              <w:spacing w:after="0"/>
              <w:jc w:val="left"/>
              <w:rPr>
                <w:rFonts w:cs="Arial"/>
                <w:color w:val="000000"/>
              </w:rPr>
            </w:pPr>
            <w:r w:rsidRPr="00A17896">
              <w:rPr>
                <w:rFonts w:cs="Arial"/>
                <w:color w:val="000000"/>
              </w:rPr>
              <w:t>City Of Laramie Ambulance 09/01/2025 and after</w:t>
            </w:r>
          </w:p>
        </w:tc>
        <w:tc>
          <w:tcPr>
            <w:tcW w:w="1177" w:type="dxa"/>
            <w:tcBorders>
              <w:top w:val="nil"/>
              <w:left w:val="nil"/>
              <w:bottom w:val="single" w:sz="4" w:space="0" w:color="auto"/>
              <w:right w:val="single" w:sz="4" w:space="0" w:color="auto"/>
            </w:tcBorders>
            <w:shd w:val="clear" w:color="auto" w:fill="auto"/>
            <w:noWrap/>
            <w:vAlign w:val="bottom"/>
          </w:tcPr>
          <w:p w14:paraId="00A9B23A"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tcPr>
          <w:p w14:paraId="092705A2"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4FF104ED"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EF5274F" w14:textId="77777777" w:rsidR="00A7515C" w:rsidRPr="00A17896" w:rsidRDefault="00A7515C" w:rsidP="00B6748E">
            <w:pPr>
              <w:spacing w:after="0"/>
              <w:jc w:val="left"/>
              <w:rPr>
                <w:rFonts w:cs="Arial"/>
                <w:color w:val="000000"/>
              </w:rPr>
            </w:pPr>
            <w:r w:rsidRPr="00A17896">
              <w:rPr>
                <w:rFonts w:cs="Arial"/>
                <w:color w:val="000000"/>
              </w:rPr>
              <w:t>All out of area Ambulance</w:t>
            </w:r>
          </w:p>
        </w:tc>
        <w:tc>
          <w:tcPr>
            <w:tcW w:w="1177" w:type="dxa"/>
            <w:tcBorders>
              <w:top w:val="nil"/>
              <w:left w:val="nil"/>
              <w:bottom w:val="single" w:sz="4" w:space="0" w:color="auto"/>
              <w:right w:val="single" w:sz="4" w:space="0" w:color="auto"/>
            </w:tcBorders>
            <w:shd w:val="clear" w:color="auto" w:fill="auto"/>
            <w:noWrap/>
            <w:vAlign w:val="bottom"/>
            <w:hideMark/>
          </w:tcPr>
          <w:p w14:paraId="0DF1D852"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1204745E" w14:textId="77777777" w:rsidR="00A7515C" w:rsidRPr="00A17896" w:rsidRDefault="00A7515C" w:rsidP="00B6748E">
            <w:pPr>
              <w:spacing w:after="0"/>
              <w:jc w:val="center"/>
              <w:rPr>
                <w:rFonts w:cs="Arial"/>
                <w:color w:val="000000"/>
              </w:rPr>
            </w:pPr>
            <w:r w:rsidRPr="00A17896">
              <w:rPr>
                <w:rFonts w:cs="Arial"/>
                <w:color w:val="000000"/>
              </w:rPr>
              <w:t>X</w:t>
            </w:r>
          </w:p>
        </w:tc>
      </w:tr>
      <w:tr w:rsidR="00A7515C" w:rsidRPr="00DE284B" w14:paraId="65075214" w14:textId="77777777" w:rsidTr="00B6748E">
        <w:trPr>
          <w:trHeight w:val="300"/>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C56DC93" w14:textId="77777777" w:rsidR="00A7515C" w:rsidRPr="00A17896" w:rsidRDefault="00A7515C" w:rsidP="00B6748E">
            <w:pPr>
              <w:spacing w:after="0"/>
              <w:jc w:val="left"/>
              <w:rPr>
                <w:rFonts w:cs="Arial"/>
                <w:color w:val="000000"/>
              </w:rPr>
            </w:pPr>
            <w:r w:rsidRPr="00A17896">
              <w:rPr>
                <w:rFonts w:cs="Arial"/>
                <w:color w:val="000000"/>
              </w:rPr>
              <w:t>All Air Ambulance</w:t>
            </w:r>
          </w:p>
        </w:tc>
        <w:tc>
          <w:tcPr>
            <w:tcW w:w="1177" w:type="dxa"/>
            <w:tcBorders>
              <w:top w:val="nil"/>
              <w:left w:val="nil"/>
              <w:bottom w:val="single" w:sz="4" w:space="0" w:color="auto"/>
              <w:right w:val="single" w:sz="4" w:space="0" w:color="auto"/>
            </w:tcBorders>
            <w:shd w:val="clear" w:color="auto" w:fill="auto"/>
            <w:noWrap/>
            <w:vAlign w:val="bottom"/>
            <w:hideMark/>
          </w:tcPr>
          <w:p w14:paraId="5B58E37E" w14:textId="77777777" w:rsidR="00A7515C" w:rsidRPr="00A17896" w:rsidRDefault="00A7515C" w:rsidP="00B6748E">
            <w:pPr>
              <w:spacing w:after="0"/>
              <w:jc w:val="center"/>
              <w:rPr>
                <w:rFonts w:cs="Arial"/>
                <w:color w:val="000000"/>
              </w:rPr>
            </w:pPr>
          </w:p>
        </w:tc>
        <w:tc>
          <w:tcPr>
            <w:tcW w:w="1857" w:type="dxa"/>
            <w:tcBorders>
              <w:top w:val="nil"/>
              <w:left w:val="nil"/>
              <w:bottom w:val="single" w:sz="4" w:space="0" w:color="auto"/>
              <w:right w:val="single" w:sz="4" w:space="0" w:color="auto"/>
            </w:tcBorders>
            <w:shd w:val="clear" w:color="auto" w:fill="auto"/>
            <w:noWrap/>
            <w:vAlign w:val="bottom"/>
            <w:hideMark/>
          </w:tcPr>
          <w:p w14:paraId="7C1C4EC8" w14:textId="77777777" w:rsidR="00A7515C" w:rsidRPr="00A17896" w:rsidRDefault="00A7515C" w:rsidP="00B6748E">
            <w:pPr>
              <w:spacing w:after="0"/>
              <w:jc w:val="center"/>
              <w:rPr>
                <w:rFonts w:cs="Arial"/>
                <w:color w:val="000000"/>
              </w:rPr>
            </w:pPr>
            <w:r w:rsidRPr="00A17896">
              <w:rPr>
                <w:rFonts w:cs="Arial"/>
                <w:color w:val="000000"/>
              </w:rPr>
              <w:t>X</w:t>
            </w:r>
          </w:p>
        </w:tc>
      </w:tr>
    </w:tbl>
    <w:p w14:paraId="468B8F56" w14:textId="77777777" w:rsidR="00A7515C" w:rsidRPr="00F326DC" w:rsidRDefault="00A7515C" w:rsidP="00F326DC"/>
    <w:sectPr w:rsidR="00A7515C" w:rsidRPr="00F326DC" w:rsidSect="005929B4">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A69C" w14:textId="77777777" w:rsidR="00A7515C" w:rsidRDefault="00A7515C" w:rsidP="00CF2FC3">
      <w:pPr>
        <w:spacing w:after="0"/>
      </w:pPr>
      <w:r>
        <w:separator/>
      </w:r>
    </w:p>
  </w:endnote>
  <w:endnote w:type="continuationSeparator" w:id="0">
    <w:p w14:paraId="2BFCE070" w14:textId="77777777" w:rsidR="00A7515C" w:rsidRDefault="00A7515C" w:rsidP="00CF2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624188"/>
      <w:docPartObj>
        <w:docPartGallery w:val="Page Numbers (Bottom of Page)"/>
        <w:docPartUnique/>
      </w:docPartObj>
    </w:sdtPr>
    <w:sdtEndPr/>
    <w:sdtContent>
      <w:sdt>
        <w:sdtPr>
          <w:id w:val="1728636285"/>
          <w:docPartObj>
            <w:docPartGallery w:val="Page Numbers (Top of Page)"/>
            <w:docPartUnique/>
          </w:docPartObj>
        </w:sdtPr>
        <w:sdtEndPr/>
        <w:sdtContent>
          <w:p w14:paraId="31C0B60D" w14:textId="77777777" w:rsidR="00CF2FC3" w:rsidRPr="00A2543D" w:rsidRDefault="00CF2FC3" w:rsidP="00A2543D">
            <w:pPr>
              <w:pStyle w:val="Footer"/>
              <w:tabs>
                <w:tab w:val="clear" w:pos="9360"/>
                <w:tab w:val="right" w:pos="10080"/>
              </w:tabs>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A2543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2543D">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FD17" w14:textId="77777777" w:rsidR="00A7515C" w:rsidRDefault="00A7515C" w:rsidP="00CF2FC3">
      <w:pPr>
        <w:spacing w:after="0"/>
      </w:pPr>
      <w:r>
        <w:separator/>
      </w:r>
    </w:p>
  </w:footnote>
  <w:footnote w:type="continuationSeparator" w:id="0">
    <w:p w14:paraId="4CBC05F9" w14:textId="77777777" w:rsidR="00A7515C" w:rsidRDefault="00A7515C" w:rsidP="00CF2FC3">
      <w:pPr>
        <w:spacing w:after="0"/>
      </w:pPr>
      <w:r>
        <w:continuationSeparator/>
      </w:r>
    </w:p>
  </w:footnote>
  <w:footnote w:id="1">
    <w:p w14:paraId="0242E985" w14:textId="77777777" w:rsidR="00A7515C" w:rsidRDefault="00A7515C" w:rsidP="00A7515C">
      <w:pPr>
        <w:pStyle w:val="FootnoteText"/>
      </w:pPr>
      <w:r>
        <w:rPr>
          <w:rStyle w:val="FootnoteReference"/>
        </w:rPr>
        <w:footnoteRef/>
      </w:r>
      <w:r>
        <w:t xml:space="preserve"> </w:t>
      </w:r>
      <w:r w:rsidRPr="009D011F">
        <w:t xml:space="preserve">The Poverty Guidelines are posted on the U.S. Department of Health &amp; Human Services’ Website, at </w:t>
      </w:r>
      <w:hyperlink r:id="rId1" w:history="1">
        <w:r w:rsidRPr="00390CDD">
          <w:rPr>
            <w:rStyle w:val="Hyperlink"/>
          </w:rPr>
          <w:t>http://aspe.hhs.gov/poverty/15poverty.cfm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0B63"/>
    <w:multiLevelType w:val="hybridMultilevel"/>
    <w:tmpl w:val="1F8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43C3D"/>
    <w:multiLevelType w:val="hybridMultilevel"/>
    <w:tmpl w:val="932C7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465"/>
    <w:multiLevelType w:val="hybridMultilevel"/>
    <w:tmpl w:val="3FB09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E3943"/>
    <w:multiLevelType w:val="hybridMultilevel"/>
    <w:tmpl w:val="BB48317E"/>
    <w:lvl w:ilvl="0" w:tplc="0409000F">
      <w:start w:val="1"/>
      <w:numFmt w:val="decimal"/>
      <w:lvlText w:val="%1."/>
      <w:lvlJc w:val="left"/>
      <w:pPr>
        <w:ind w:left="720" w:hanging="360"/>
      </w:pPr>
    </w:lvl>
    <w:lvl w:ilvl="1" w:tplc="FEA48F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963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082252"/>
    <w:multiLevelType w:val="hybridMultilevel"/>
    <w:tmpl w:val="B7109336"/>
    <w:lvl w:ilvl="0" w:tplc="EB0475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82B67"/>
    <w:multiLevelType w:val="hybridMultilevel"/>
    <w:tmpl w:val="CB5AC08A"/>
    <w:lvl w:ilvl="0" w:tplc="0A00FF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A514D"/>
    <w:multiLevelType w:val="hybridMultilevel"/>
    <w:tmpl w:val="61F2E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22B88"/>
    <w:multiLevelType w:val="hybridMultilevel"/>
    <w:tmpl w:val="86C4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68B1"/>
    <w:multiLevelType w:val="hybridMultilevel"/>
    <w:tmpl w:val="74D0E34C"/>
    <w:lvl w:ilvl="0" w:tplc="7FFE940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E696E"/>
    <w:multiLevelType w:val="hybridMultilevel"/>
    <w:tmpl w:val="74D0E34C"/>
    <w:lvl w:ilvl="0" w:tplc="7FFE940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715091">
    <w:abstractNumId w:val="1"/>
  </w:num>
  <w:num w:numId="2" w16cid:durableId="47847173">
    <w:abstractNumId w:val="2"/>
  </w:num>
  <w:num w:numId="3" w16cid:durableId="72746350">
    <w:abstractNumId w:val="8"/>
  </w:num>
  <w:num w:numId="4" w16cid:durableId="757601059">
    <w:abstractNumId w:val="0"/>
  </w:num>
  <w:num w:numId="5" w16cid:durableId="1482885818">
    <w:abstractNumId w:val="4"/>
  </w:num>
  <w:num w:numId="6" w16cid:durableId="1821969110">
    <w:abstractNumId w:val="6"/>
  </w:num>
  <w:num w:numId="7" w16cid:durableId="1017005365">
    <w:abstractNumId w:val="7"/>
  </w:num>
  <w:num w:numId="8" w16cid:durableId="1895433502">
    <w:abstractNumId w:val="9"/>
  </w:num>
  <w:num w:numId="9" w16cid:durableId="222914285">
    <w:abstractNumId w:val="3"/>
  </w:num>
  <w:num w:numId="10" w16cid:durableId="717584828">
    <w:abstractNumId w:val="5"/>
  </w:num>
  <w:num w:numId="11" w16cid:durableId="2054960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5C"/>
    <w:rsid w:val="00042E80"/>
    <w:rsid w:val="00077687"/>
    <w:rsid w:val="000C46CE"/>
    <w:rsid w:val="000D7C2A"/>
    <w:rsid w:val="000E2497"/>
    <w:rsid w:val="00120413"/>
    <w:rsid w:val="0019688A"/>
    <w:rsid w:val="00197B6D"/>
    <w:rsid w:val="001A747F"/>
    <w:rsid w:val="001F0D49"/>
    <w:rsid w:val="00220249"/>
    <w:rsid w:val="0029355C"/>
    <w:rsid w:val="002D6256"/>
    <w:rsid w:val="00321134"/>
    <w:rsid w:val="00321429"/>
    <w:rsid w:val="00327D7B"/>
    <w:rsid w:val="003F0BC7"/>
    <w:rsid w:val="0042073A"/>
    <w:rsid w:val="0043195E"/>
    <w:rsid w:val="00460297"/>
    <w:rsid w:val="0046505F"/>
    <w:rsid w:val="004B7590"/>
    <w:rsid w:val="005929B4"/>
    <w:rsid w:val="005A3BC4"/>
    <w:rsid w:val="005C4A41"/>
    <w:rsid w:val="005D5F46"/>
    <w:rsid w:val="00625B71"/>
    <w:rsid w:val="00652E12"/>
    <w:rsid w:val="0069774B"/>
    <w:rsid w:val="007034D6"/>
    <w:rsid w:val="00745C8C"/>
    <w:rsid w:val="00750E1C"/>
    <w:rsid w:val="0076245A"/>
    <w:rsid w:val="00784382"/>
    <w:rsid w:val="00790625"/>
    <w:rsid w:val="0082441D"/>
    <w:rsid w:val="00836D56"/>
    <w:rsid w:val="00843CC3"/>
    <w:rsid w:val="00873899"/>
    <w:rsid w:val="008A6EFD"/>
    <w:rsid w:val="008A70BF"/>
    <w:rsid w:val="008E0747"/>
    <w:rsid w:val="009154D2"/>
    <w:rsid w:val="009263F8"/>
    <w:rsid w:val="009474F6"/>
    <w:rsid w:val="00977E6B"/>
    <w:rsid w:val="009B2EEE"/>
    <w:rsid w:val="009B4D70"/>
    <w:rsid w:val="00A019C6"/>
    <w:rsid w:val="00A2543D"/>
    <w:rsid w:val="00A7515C"/>
    <w:rsid w:val="00A86E4B"/>
    <w:rsid w:val="00AC5353"/>
    <w:rsid w:val="00AE0D4E"/>
    <w:rsid w:val="00AE4DCF"/>
    <w:rsid w:val="00AE7911"/>
    <w:rsid w:val="00B12BFF"/>
    <w:rsid w:val="00B12DAB"/>
    <w:rsid w:val="00B244B0"/>
    <w:rsid w:val="00B824D3"/>
    <w:rsid w:val="00BD06C8"/>
    <w:rsid w:val="00BD1833"/>
    <w:rsid w:val="00BF0F2E"/>
    <w:rsid w:val="00C32151"/>
    <w:rsid w:val="00C57470"/>
    <w:rsid w:val="00CA5545"/>
    <w:rsid w:val="00CE388B"/>
    <w:rsid w:val="00CF2FC3"/>
    <w:rsid w:val="00DA07C1"/>
    <w:rsid w:val="00DE1F72"/>
    <w:rsid w:val="00DE60E5"/>
    <w:rsid w:val="00E01207"/>
    <w:rsid w:val="00E26F25"/>
    <w:rsid w:val="00E407B5"/>
    <w:rsid w:val="00EB00E8"/>
    <w:rsid w:val="00EC7F8D"/>
    <w:rsid w:val="00ED61D9"/>
    <w:rsid w:val="00F326DC"/>
    <w:rsid w:val="00F71F47"/>
    <w:rsid w:val="00FD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6C83B"/>
  <w15:chartTrackingRefBased/>
  <w15:docId w15:val="{44FB8D82-3320-446D-B206-81F3AC57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DC"/>
    <w:pPr>
      <w:jc w:val="both"/>
    </w:pPr>
    <w:rPr>
      <w:rFonts w:ascii="Arial" w:hAnsi="Arial"/>
      <w:sz w:val="24"/>
      <w14:ligatures w14:val="all"/>
    </w:rPr>
  </w:style>
  <w:style w:type="paragraph" w:styleId="Heading1">
    <w:name w:val="heading 1"/>
    <w:basedOn w:val="Normal"/>
    <w:next w:val="Normal"/>
    <w:link w:val="Heading1Char"/>
    <w:uiPriority w:val="9"/>
    <w:rsid w:val="00A7515C"/>
    <w:pPr>
      <w:keepNext/>
      <w:keepLines/>
      <w:outlineLvl w:val="0"/>
    </w:pPr>
    <w:rPr>
      <w:rFonts w:eastAsiaTheme="majorEastAsia" w:cstheme="majorBidi"/>
      <w:b/>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6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6DC"/>
    <w:pPr>
      <w:ind w:left="720"/>
    </w:pPr>
  </w:style>
  <w:style w:type="paragraph" w:styleId="Header">
    <w:name w:val="header"/>
    <w:basedOn w:val="Normal"/>
    <w:link w:val="HeaderChar"/>
    <w:uiPriority w:val="99"/>
    <w:unhideWhenUsed/>
    <w:rsid w:val="00CF2FC3"/>
    <w:pPr>
      <w:tabs>
        <w:tab w:val="center" w:pos="4680"/>
        <w:tab w:val="right" w:pos="9360"/>
      </w:tabs>
      <w:spacing w:after="0"/>
    </w:pPr>
  </w:style>
  <w:style w:type="character" w:customStyle="1" w:styleId="HeaderChar">
    <w:name w:val="Header Char"/>
    <w:basedOn w:val="DefaultParagraphFont"/>
    <w:link w:val="Header"/>
    <w:uiPriority w:val="99"/>
    <w:rsid w:val="00CF2FC3"/>
    <w:rPr>
      <w:rFonts w:ascii="Arial" w:hAnsi="Arial"/>
      <w:sz w:val="24"/>
      <w14:ligatures w14:val="all"/>
    </w:rPr>
  </w:style>
  <w:style w:type="paragraph" w:styleId="Footer">
    <w:name w:val="footer"/>
    <w:basedOn w:val="Normal"/>
    <w:link w:val="FooterChar"/>
    <w:uiPriority w:val="99"/>
    <w:unhideWhenUsed/>
    <w:rsid w:val="00CF2FC3"/>
    <w:pPr>
      <w:tabs>
        <w:tab w:val="center" w:pos="4680"/>
        <w:tab w:val="right" w:pos="9360"/>
      </w:tabs>
      <w:spacing w:after="0"/>
    </w:pPr>
  </w:style>
  <w:style w:type="character" w:customStyle="1" w:styleId="FooterChar">
    <w:name w:val="Footer Char"/>
    <w:basedOn w:val="DefaultParagraphFont"/>
    <w:link w:val="Footer"/>
    <w:uiPriority w:val="99"/>
    <w:rsid w:val="00CF2FC3"/>
    <w:rPr>
      <w:rFonts w:ascii="Arial" w:hAnsi="Arial"/>
      <w:sz w:val="24"/>
      <w14:ligatures w14:val="all"/>
    </w:rPr>
  </w:style>
  <w:style w:type="character" w:styleId="PlaceholderText">
    <w:name w:val="Placeholder Text"/>
    <w:basedOn w:val="DefaultParagraphFont"/>
    <w:uiPriority w:val="99"/>
    <w:semiHidden/>
    <w:rsid w:val="00873899"/>
    <w:rPr>
      <w:color w:val="808080"/>
    </w:rPr>
  </w:style>
  <w:style w:type="character" w:styleId="CommentReference">
    <w:name w:val="annotation reference"/>
    <w:basedOn w:val="DefaultParagraphFont"/>
    <w:uiPriority w:val="99"/>
    <w:semiHidden/>
    <w:unhideWhenUsed/>
    <w:rsid w:val="00843CC3"/>
    <w:rPr>
      <w:sz w:val="16"/>
      <w:szCs w:val="16"/>
    </w:rPr>
  </w:style>
  <w:style w:type="paragraph" w:styleId="CommentText">
    <w:name w:val="annotation text"/>
    <w:basedOn w:val="Normal"/>
    <w:link w:val="CommentTextChar"/>
    <w:uiPriority w:val="99"/>
    <w:semiHidden/>
    <w:unhideWhenUsed/>
    <w:rsid w:val="00843CC3"/>
    <w:rPr>
      <w:sz w:val="20"/>
      <w:szCs w:val="20"/>
    </w:rPr>
  </w:style>
  <w:style w:type="character" w:customStyle="1" w:styleId="CommentTextChar">
    <w:name w:val="Comment Text Char"/>
    <w:basedOn w:val="DefaultParagraphFont"/>
    <w:link w:val="CommentText"/>
    <w:uiPriority w:val="99"/>
    <w:semiHidden/>
    <w:rsid w:val="00843CC3"/>
    <w:rPr>
      <w:rFonts w:ascii="Arial" w:hAnsi="Arial"/>
      <w:sz w:val="20"/>
      <w:szCs w:val="20"/>
      <w14:ligatures w14:val="all"/>
    </w:rPr>
  </w:style>
  <w:style w:type="paragraph" w:styleId="CommentSubject">
    <w:name w:val="annotation subject"/>
    <w:basedOn w:val="CommentText"/>
    <w:next w:val="CommentText"/>
    <w:link w:val="CommentSubjectChar"/>
    <w:uiPriority w:val="99"/>
    <w:semiHidden/>
    <w:unhideWhenUsed/>
    <w:rsid w:val="00843CC3"/>
    <w:rPr>
      <w:b/>
      <w:bCs/>
    </w:rPr>
  </w:style>
  <w:style w:type="character" w:customStyle="1" w:styleId="CommentSubjectChar">
    <w:name w:val="Comment Subject Char"/>
    <w:basedOn w:val="CommentTextChar"/>
    <w:link w:val="CommentSubject"/>
    <w:uiPriority w:val="99"/>
    <w:semiHidden/>
    <w:rsid w:val="00843CC3"/>
    <w:rPr>
      <w:rFonts w:ascii="Arial" w:hAnsi="Arial"/>
      <w:b/>
      <w:bCs/>
      <w:sz w:val="20"/>
      <w:szCs w:val="20"/>
      <w14:ligatures w14:val="all"/>
    </w:rPr>
  </w:style>
  <w:style w:type="character" w:customStyle="1" w:styleId="Heading1Char">
    <w:name w:val="Heading 1 Char"/>
    <w:basedOn w:val="DefaultParagraphFont"/>
    <w:link w:val="Heading1"/>
    <w:uiPriority w:val="9"/>
    <w:rsid w:val="00A7515C"/>
    <w:rPr>
      <w:rFonts w:ascii="Arial" w:eastAsiaTheme="majorEastAsia" w:hAnsi="Arial" w:cstheme="majorBidi"/>
      <w:b/>
      <w:sz w:val="24"/>
      <w:szCs w:val="32"/>
    </w:rPr>
  </w:style>
  <w:style w:type="paragraph" w:styleId="FootnoteText">
    <w:name w:val="footnote text"/>
    <w:basedOn w:val="Normal"/>
    <w:link w:val="FootnoteTextChar"/>
    <w:uiPriority w:val="99"/>
    <w:semiHidden/>
    <w:unhideWhenUsed/>
    <w:rsid w:val="00A7515C"/>
    <w:pPr>
      <w:spacing w:after="0"/>
    </w:pPr>
    <w:rPr>
      <w:rFonts w:eastAsia="Times New Roman" w:cs="Times New Roman"/>
      <w:sz w:val="20"/>
      <w:szCs w:val="20"/>
      <w14:ligatures w14:val="none"/>
    </w:rPr>
  </w:style>
  <w:style w:type="character" w:customStyle="1" w:styleId="FootnoteTextChar">
    <w:name w:val="Footnote Text Char"/>
    <w:basedOn w:val="DefaultParagraphFont"/>
    <w:link w:val="FootnoteText"/>
    <w:uiPriority w:val="99"/>
    <w:semiHidden/>
    <w:rsid w:val="00A7515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7515C"/>
    <w:rPr>
      <w:vertAlign w:val="superscript"/>
    </w:rPr>
  </w:style>
  <w:style w:type="character" w:styleId="Hyperlink">
    <w:name w:val="Hyperlink"/>
    <w:basedOn w:val="DefaultParagraphFont"/>
    <w:uiPriority w:val="99"/>
    <w:unhideWhenUsed/>
    <w:rsid w:val="00A7515C"/>
    <w:rPr>
      <w:color w:val="0563C1" w:themeColor="hyperlink"/>
      <w:u w:val="single"/>
    </w:rPr>
  </w:style>
  <w:style w:type="paragraph" w:styleId="Revision">
    <w:name w:val="Revision"/>
    <w:hidden/>
    <w:uiPriority w:val="99"/>
    <w:semiHidden/>
    <w:rsid w:val="00F71F47"/>
    <w:pPr>
      <w:spacing w:after="0"/>
    </w:pPr>
    <w:rPr>
      <w:rFonts w:ascii="Arial" w:hAnsi="Arial"/>
      <w:sz w:val="24"/>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aspe.hhs.gov/poverty/15poverty.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olicies\Slim%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E9B9B0F5494285B0ECB4C8CD91C19D"/>
        <w:category>
          <w:name w:val="General"/>
          <w:gallery w:val="placeholder"/>
        </w:category>
        <w:types>
          <w:type w:val="bbPlcHdr"/>
        </w:types>
        <w:behaviors>
          <w:behavior w:val="content"/>
        </w:behaviors>
        <w:guid w:val="{ADE4CCBA-FEBC-42A6-A5C7-D0F345B90BDC}"/>
      </w:docPartPr>
      <w:docPartBody>
        <w:p w:rsidR="001758A4" w:rsidRDefault="001758A4">
          <w:pPr>
            <w:pStyle w:val="FEE9B9B0F5494285B0ECB4C8CD91C19D"/>
          </w:pPr>
          <w:r w:rsidRPr="001F43F9">
            <w:rPr>
              <w:rStyle w:val="PlaceholderText"/>
            </w:rPr>
            <w:t>[ReviewDueDate]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A4"/>
    <w:rsid w:val="000E2497"/>
    <w:rsid w:val="0017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E9B9B0F5494285B0ECB4C8CD91C19D">
    <w:name w:val="FEE9B9B0F5494285B0ECB4C8CD91C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ueDate xmlns="e1a1cc7b-24de-40ce-83c7-cf1dd112dca8">2027-04-01T06:00:00+00:00</ReviewDueDate>
    <ResponsibleParty xmlns="e1a1cc7b-24de-40ce-83c7-cf1dd112dca8">
      <UserInfo>
        <DisplayName>Andrea Lewis</DisplayName>
        <AccountId>268</AccountId>
        <AccountType/>
      </UserInfo>
    </ResponsibleParty>
    <Category xmlns="e1a1cc7b-24de-40ce-83c7-cf1dd112dca8">Hospital Wide</Category>
    <_dlc_DocId xmlns="a225888c-5efa-4efe-90eb-27aa7d16bbdf">SPSA7RTJSUYD-126-1839</_dlc_DocId>
    <_dlc_DocIdUrl xmlns="a225888c-5efa-4efe-90eb-27aa7d16bbdf">
      <Url>https://sharepoint.imh.local/_layouts/15/DocIdRedir.aspx?ID=SPSA7RTJSUYD-126-1839</Url>
      <Description>SPSA7RTJSUYD-126-1839</Description>
    </_dlc_DocIdUrl>
    <Period xmlns="e1a1cc7b-24de-40ce-83c7-cf1dd112dca8">1</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B99C90F33D1545912D4055C4828BB7" ma:contentTypeVersion="13" ma:contentTypeDescription="Create a new document." ma:contentTypeScope="" ma:versionID="e546360daa77d6a78b7dcb656a11b7ca">
  <xsd:schema xmlns:xsd="http://www.w3.org/2001/XMLSchema" xmlns:xs="http://www.w3.org/2001/XMLSchema" xmlns:p="http://schemas.microsoft.com/office/2006/metadata/properties" xmlns:ns2="a225888c-5efa-4efe-90eb-27aa7d16bbdf" xmlns:ns3="e1a1cc7b-24de-40ce-83c7-cf1dd112dca8" targetNamespace="http://schemas.microsoft.com/office/2006/metadata/properties" ma:root="true" ma:fieldsID="41644f48f40b1cfdbddb44bd393bb0df" ns2:_="" ns3:_="">
    <xsd:import namespace="a225888c-5efa-4efe-90eb-27aa7d16bbdf"/>
    <xsd:import namespace="e1a1cc7b-24de-40ce-83c7-cf1dd112dca8"/>
    <xsd:element name="properties">
      <xsd:complexType>
        <xsd:sequence>
          <xsd:element name="documentManagement">
            <xsd:complexType>
              <xsd:all>
                <xsd:element ref="ns2:_dlc_DocId" minOccurs="0"/>
                <xsd:element ref="ns2:_dlc_DocIdUrl" minOccurs="0"/>
                <xsd:element ref="ns2:_dlc_DocIdPersistId" minOccurs="0"/>
                <xsd:element ref="ns3:ResponsibleParty" minOccurs="0"/>
                <xsd:element ref="ns3:Category" minOccurs="0"/>
                <xsd:element ref="ns3:ReviewDueDate" minOccurs="0"/>
                <xsd:element ref="ns3:Period"/>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888c-5efa-4efe-90eb-27aa7d16bb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c7b-24de-40ce-83c7-cf1dd112dca8" elementFormDefault="qualified">
    <xsd:import namespace="http://schemas.microsoft.com/office/2006/documentManagement/types"/>
    <xsd:import namespace="http://schemas.microsoft.com/office/infopath/2007/PartnerControls"/>
    <xsd:element name="ResponsibleParty" ma:index="11" nillable="true" ma:displayName="ResponsibleParty" ma:list="UserInfo" ma:SearchPeopleOnly="false" ma:SharePointGroup="0" ma:internalName="ResponsiblePart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2" nillable="true" ma:displayName="Category" ma:format="Dropdown" ma:internalName="Category">
      <xsd:simpleType>
        <xsd:restriction base="dms:Choice">
          <xsd:enumeration value="ACHD"/>
          <xsd:enumeration value="Ambulance"/>
          <xsd:enumeration value="Board"/>
          <xsd:enumeration value="Compliance"/>
          <xsd:enumeration value="COVID-19"/>
          <xsd:enumeration value="Department"/>
          <xsd:enumeration value="Environment of Care"/>
          <xsd:enumeration value="HIPAA Privacy"/>
          <xsd:enumeration value="HIPAA Security"/>
          <xsd:enumeration value="Hospital Wide"/>
          <xsd:enumeration value="Human Resources"/>
          <xsd:enumeration value="IMG"/>
          <xsd:enumeration value="Infection Control"/>
          <xsd:enumeration value="Information Systems"/>
          <xsd:enumeration value="Patient Care"/>
          <xsd:enumeration value="Revenue Cycle"/>
        </xsd:restriction>
      </xsd:simpleType>
    </xsd:element>
    <xsd:element name="ReviewDueDate" ma:index="13" nillable="true" ma:displayName="ReviewDueDate" ma:format="DateOnly" ma:internalName="ReviewDueDate">
      <xsd:simpleType>
        <xsd:restriction base="dms:DateTime"/>
      </xsd:simpleType>
    </xsd:element>
    <xsd:element name="Period" ma:index="14" ma:displayName="Period" ma:decimals="0" ma:default="3" ma:description="Review every N years." ma:internalName="Period">
      <xsd:simpleType>
        <xsd:restriction base="dms:Number">
          <xsd:maxInclusive value="3"/>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F38D7-A994-4556-BAC9-FDA5898059C8}">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e1a1cc7b-24de-40ce-83c7-cf1dd112dca8"/>
    <ds:schemaRef ds:uri="a225888c-5efa-4efe-90eb-27aa7d16bbdf"/>
    <ds:schemaRef ds:uri="http://purl.org/dc/elements/1.1/"/>
  </ds:schemaRefs>
</ds:datastoreItem>
</file>

<file path=customXml/itemProps2.xml><?xml version="1.0" encoding="utf-8"?>
<ds:datastoreItem xmlns:ds="http://schemas.openxmlformats.org/officeDocument/2006/customXml" ds:itemID="{14E2FD0B-B9C7-4B54-9865-A35271D7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888c-5efa-4efe-90eb-27aa7d16bbdf"/>
    <ds:schemaRef ds:uri="e1a1cc7b-24de-40ce-83c7-cf1dd112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926E7-9281-46E8-AEEB-49324FA6B4FD}">
  <ds:schemaRefs>
    <ds:schemaRef ds:uri="http://schemas.microsoft.com/sharepoint/events"/>
  </ds:schemaRefs>
</ds:datastoreItem>
</file>

<file path=customXml/itemProps4.xml><?xml version="1.0" encoding="utf-8"?>
<ds:datastoreItem xmlns:ds="http://schemas.openxmlformats.org/officeDocument/2006/customXml" ds:itemID="{17D39D9C-D9B9-4841-9F2B-E101EB16A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Slim Policy Template</Template>
  <TotalTime>0</TotalTime>
  <Pages>8</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Hall</dc:creator>
  <cp:keywords/>
  <dc:description/>
  <cp:lastModifiedBy>Andrea Lewis</cp:lastModifiedBy>
  <cp:revision>2</cp:revision>
  <cp:lastPrinted>2026-06-15T18:57:00Z</cp:lastPrinted>
  <dcterms:created xsi:type="dcterms:W3CDTF">2026-06-15T18:57:00Z</dcterms:created>
  <dcterms:modified xsi:type="dcterms:W3CDTF">2026-06-15T18:57:00Z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0x010100E8B99C90F33D1545912D4055C4828BB7</vt:lpwstr>
  </property>
  <property fmtid="{D5CDD505-2E9C-101B-9397-08002B2CF9AE}" pid="3" name="_dlc_DocIdItemGuid">
    <vt:lpwstr>d8e53f6f-1151-4fcd-964c-eba5652d6516</vt:lpwstr>
  </property>
  <property fmtid="{D5CDD505-2E9C-101B-9397-08002B2CF9AE}" pid="4" name="COVID-19">
    <vt:bool>false</vt:bool>
  </property>
</Properties>
</file>